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60" w:lineRule="exact"/>
        <w:jc w:val="distribute"/>
        <w:rPr>
          <w:rFonts w:ascii="小标宋" w:hAnsi="宋体" w:eastAsia="小标宋"/>
          <w:color w:val="FF0000"/>
          <w:spacing w:val="22"/>
          <w:w w:val="90"/>
          <w:sz w:val="90"/>
          <w:szCs w:val="90"/>
        </w:rPr>
      </w:pPr>
      <w:bookmarkStart w:id="0" w:name="_GoBack"/>
      <w:bookmarkEnd w:id="0"/>
      <w:r>
        <w:rPr>
          <w:rFonts w:ascii="小标宋" w:hAnsi="宋体" w:eastAsia="小标宋"/>
          <w:color w:val="FF0000"/>
          <w:spacing w:val="22"/>
          <w:sz w:val="90"/>
          <w:szCs w:val="90"/>
        </w:rPr>
        <mc:AlternateContent>
          <mc:Choice Requires="wps">
            <w:drawing>
              <wp:anchor distT="144145" distB="158115" distL="114300" distR="114300" simplePos="0" relativeHeight="251660288" behindDoc="0" locked="0" layoutInCell="1" allowOverlap="1">
                <wp:simplePos x="0" y="0"/>
                <wp:positionH relativeFrom="column">
                  <wp:posOffset>-252095</wp:posOffset>
                </wp:positionH>
                <wp:positionV relativeFrom="page">
                  <wp:posOffset>1870075</wp:posOffset>
                </wp:positionV>
                <wp:extent cx="6120130" cy="0"/>
                <wp:effectExtent l="0" t="28575" r="13970" b="28575"/>
                <wp:wrapTopAndBottom/>
                <wp:docPr id="2" name="直接连接符 2"/>
                <wp:cNvGraphicFramePr/>
                <a:graphic xmlns:a="http://schemas.openxmlformats.org/drawingml/2006/main">
                  <a:graphicData uri="http://schemas.microsoft.com/office/word/2010/wordprocessingShape">
                    <wps:wsp>
                      <wps:cNvCnPr/>
                      <wps:spPr>
                        <a:xfrm>
                          <a:off x="0" y="0"/>
                          <a:ext cx="6120130" cy="0"/>
                        </a:xfrm>
                        <a:prstGeom prst="line">
                          <a:avLst/>
                        </a:prstGeom>
                        <a:ln w="57150" cap="flat" cmpd="thickThin">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9.85pt;margin-top:147.25pt;height:0pt;width:481.9pt;mso-position-vertical-relative:page;mso-wrap-distance-bottom:12.45pt;mso-wrap-distance-top:11.35pt;z-index:251660288;mso-width-relative:page;mso-height-relative:page;" filled="f" stroked="t" coordsize="21600,21600" o:gfxdata="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4lbv9YAAAALAQAADwAAAAAAAAABACAAAAAiAAAAZHJzL2Rvd25yZXYueG1sUEsB&#10;AhQAFAAAAAgAh07iQKV+ZgP3AQAA7QMAAA4AAAAAAAAAAQAgAAAAJQEAAGRycy9lMm9Eb2MueG1s&#10;UEsFBgAAAAAGAAYAWQEAAI4FAAAAAA==&#10;">
                <v:fill on="f" focussize="0,0"/>
                <v:stroke weight="4.5pt" color="#FF0000" linestyle="thickThin" joinstyle="round"/>
                <v:imagedata o:title=""/>
                <o:lock v:ext="edit" aspectratio="f"/>
                <w10:wrap type="topAndBottom"/>
              </v:line>
            </w:pict>
          </mc:Fallback>
        </mc:AlternateContent>
      </w:r>
      <w:r>
        <w:rPr>
          <w:rFonts w:hint="eastAsia" w:ascii="小标宋" w:hAnsi="宋体" w:eastAsia="小标宋"/>
          <w:color w:val="FF0000"/>
          <w:spacing w:val="22"/>
          <w:w w:val="90"/>
          <w:sz w:val="90"/>
          <w:szCs w:val="90"/>
        </w:rPr>
        <w:t>西安科技大学院处函件</w:t>
      </w:r>
    </w:p>
    <w:p>
      <w:pPr>
        <w:tabs>
          <w:tab w:val="center" w:pos="4680"/>
        </w:tabs>
        <w:snapToGrid w:val="0"/>
        <w:spacing w:line="240" w:lineRule="atLeast"/>
        <w:jc w:val="right"/>
        <w:rPr>
          <w:rFonts w:ascii="仿宋_GB2312" w:hAnsi="宋体" w:eastAsia="仿宋_GB2312"/>
          <w:sz w:val="32"/>
          <w:szCs w:val="32"/>
        </w:rPr>
      </w:pPr>
      <w:r>
        <w:rPr>
          <w:rFonts w:hint="eastAsia" w:ascii="仿宋_GB2312" w:hAnsi="宋体" w:eastAsia="仿宋_GB2312"/>
          <w:sz w:val="32"/>
          <w:szCs w:val="32"/>
        </w:rPr>
        <w:t>人事函〔2023</w:t>
      </w:r>
      <w:r>
        <w:rPr>
          <w:rFonts w:ascii="仿宋_GB2312" w:hAnsi="宋体" w:eastAsia="仿宋_GB2312"/>
          <w:sz w:val="32"/>
          <w:szCs w:val="32"/>
        </w:rPr>
        <w:t>〕</w:t>
      </w:r>
      <w:r>
        <w:rPr>
          <w:rFonts w:hint="eastAsia" w:ascii="仿宋_GB2312" w:hAnsi="宋体" w:eastAsia="仿宋_GB2312"/>
          <w:sz w:val="32"/>
          <w:szCs w:val="32"/>
        </w:rPr>
        <w:t>37号</w:t>
      </w:r>
    </w:p>
    <w:p>
      <w:pPr>
        <w:snapToGrid w:val="0"/>
        <w:spacing w:line="700" w:lineRule="exact"/>
        <w:jc w:val="center"/>
        <w:textAlignment w:val="baseline"/>
        <w:rPr>
          <w:rStyle w:val="12"/>
          <w:rFonts w:hint="eastAsia" w:ascii="小标宋" w:hAnsi="小标宋" w:eastAsia="小标宋" w:cs="小标宋"/>
          <w:color w:val="000000"/>
          <w:sz w:val="44"/>
          <w:szCs w:val="44"/>
        </w:rPr>
      </w:pPr>
      <w:r>
        <w:rPr>
          <w:rStyle w:val="12"/>
          <w:rFonts w:hint="eastAsia" w:ascii="小标宋" w:hAnsi="小标宋" w:eastAsia="小标宋" w:cs="小标宋"/>
          <w:color w:val="000000"/>
          <w:sz w:val="44"/>
          <w:szCs w:val="44"/>
        </w:rPr>
        <w:t>关于做好2023年度教师系列</w:t>
      </w:r>
    </w:p>
    <w:p>
      <w:pPr>
        <w:snapToGrid w:val="0"/>
        <w:spacing w:line="700" w:lineRule="exact"/>
        <w:jc w:val="center"/>
        <w:textAlignment w:val="baseline"/>
        <w:rPr>
          <w:rFonts w:hint="eastAsia" w:ascii="小标宋" w:hAnsi="小标宋" w:eastAsia="小标宋" w:cs="小标宋"/>
          <w:color w:val="000000"/>
          <w:sz w:val="44"/>
          <w:szCs w:val="44"/>
        </w:rPr>
      </w:pPr>
      <w:r>
        <w:rPr>
          <w:rStyle w:val="12"/>
          <w:rFonts w:hint="eastAsia" w:ascii="小标宋" w:hAnsi="小标宋" w:eastAsia="小标宋" w:cs="小标宋"/>
          <w:color w:val="000000"/>
          <w:sz w:val="44"/>
          <w:szCs w:val="44"/>
        </w:rPr>
        <w:t>职称评审工作的通知</w:t>
      </w:r>
    </w:p>
    <w:p>
      <w:pPr>
        <w:spacing w:line="560" w:lineRule="exact"/>
        <w:ind w:firstLine="0" w:firstLineChars="0"/>
        <w:textAlignment w:val="baseline"/>
        <w:rPr>
          <w:rFonts w:ascii="仿宋_GB2312" w:hAnsi="宋体" w:eastAsia="仿宋_GB2312" w:cs="Courier New"/>
          <w:color w:val="000000"/>
          <w:sz w:val="32"/>
          <w:szCs w:val="32"/>
        </w:rPr>
      </w:pPr>
      <w:r>
        <w:rPr>
          <w:rFonts w:hint="eastAsia" w:ascii="仿宋_GB2312" w:hAnsi="宋体" w:eastAsia="仿宋_GB2312" w:cs="Courier New"/>
          <w:color w:val="000000"/>
          <w:sz w:val="32"/>
          <w:szCs w:val="32"/>
        </w:rPr>
        <w:t>各学院（部）：</w:t>
      </w:r>
    </w:p>
    <w:p>
      <w:pPr>
        <w:spacing w:line="560" w:lineRule="exact"/>
        <w:ind w:firstLine="640" w:firstLineChars="200"/>
        <w:textAlignment w:val="baseline"/>
        <w:rPr>
          <w:rFonts w:ascii="仿宋_GB2312" w:hAnsi="宋体" w:eastAsia="仿宋_GB2312" w:cs="Courier New"/>
          <w:color w:val="000000"/>
          <w:sz w:val="32"/>
          <w:szCs w:val="32"/>
        </w:rPr>
      </w:pPr>
      <w:r>
        <w:rPr>
          <w:rFonts w:hint="eastAsia" w:ascii="仿宋_GB2312" w:hAnsi="宋体" w:eastAsia="仿宋_GB2312" w:cs="Courier New"/>
          <w:color w:val="000000"/>
          <w:sz w:val="32"/>
          <w:szCs w:val="32"/>
        </w:rPr>
        <w:t>根据陕西省人社厅陕西省教育厅《关于开展2023年全省高等学校教师系列职称评审工作的通知》（陕人社函〔2023〕492号）相关要求，经学校职称改革领导小组研究，学校拟开展2023年教师系列职称评审工作，为确保此项工作的顺利开展，现将有关工作通知如下：</w:t>
      </w:r>
    </w:p>
    <w:p>
      <w:pPr>
        <w:spacing w:line="560" w:lineRule="exact"/>
        <w:ind w:firstLine="624" w:firstLineChars="200"/>
        <w:textAlignment w:val="baseline"/>
        <w:rPr>
          <w:rStyle w:val="12"/>
          <w:rFonts w:ascii="黑体" w:hAnsi="宋体" w:eastAsia="黑体"/>
          <w:color w:val="000000"/>
          <w:spacing w:val="-4"/>
          <w:sz w:val="32"/>
        </w:rPr>
      </w:pPr>
      <w:r>
        <w:rPr>
          <w:rStyle w:val="12"/>
          <w:rFonts w:hint="eastAsia" w:ascii="黑体" w:hAnsi="宋体" w:eastAsia="黑体"/>
          <w:color w:val="000000"/>
          <w:spacing w:val="-4"/>
          <w:sz w:val="32"/>
        </w:rPr>
        <w:t>一、评审范围</w:t>
      </w:r>
    </w:p>
    <w:p>
      <w:pPr>
        <w:spacing w:line="560" w:lineRule="exact"/>
        <w:ind w:firstLine="640" w:firstLineChars="200"/>
        <w:textAlignment w:val="baseline"/>
        <w:rPr>
          <w:rFonts w:ascii="仿宋_GB2312" w:hAnsi="宋体" w:eastAsia="仿宋_GB2312" w:cs="Courier New"/>
          <w:color w:val="000000"/>
          <w:sz w:val="32"/>
          <w:szCs w:val="32"/>
        </w:rPr>
      </w:pPr>
      <w:r>
        <w:rPr>
          <w:rFonts w:hint="eastAsia" w:ascii="仿宋_GB2312" w:hAnsi="宋体" w:eastAsia="仿宋_GB2312" w:cs="Courier New"/>
          <w:color w:val="000000"/>
          <w:sz w:val="32"/>
          <w:szCs w:val="32"/>
        </w:rPr>
        <w:t>已取得我省高等学校教师资格，从事高等学校教育教学工作 的在职在岗专任教师、专职辅导员，可申报参加高等学校教师系</w:t>
      </w:r>
    </w:p>
    <w:p>
      <w:pPr>
        <w:spacing w:line="560" w:lineRule="exact"/>
        <w:ind w:firstLine="640" w:firstLineChars="200"/>
        <w:textAlignment w:val="baseline"/>
        <w:rPr>
          <w:rFonts w:ascii="仿宋_GB2312" w:hAnsi="宋体" w:eastAsia="仿宋_GB2312" w:cs="Courier New"/>
          <w:color w:val="000000"/>
          <w:sz w:val="32"/>
          <w:szCs w:val="32"/>
        </w:rPr>
      </w:pPr>
      <w:r>
        <w:rPr>
          <w:rFonts w:hint="eastAsia" w:ascii="仿宋_GB2312" w:hAnsi="宋体" w:eastAsia="仿宋_GB2312" w:cs="Courier New"/>
          <w:color w:val="000000"/>
          <w:sz w:val="32"/>
          <w:szCs w:val="32"/>
        </w:rPr>
        <w:t>列职称评审。今年内达到国家法定退休年龄的人员不得申报。</w:t>
      </w:r>
    </w:p>
    <w:p>
      <w:pPr>
        <w:spacing w:line="560" w:lineRule="exact"/>
        <w:ind w:firstLine="624" w:firstLineChars="200"/>
        <w:textAlignment w:val="baseline"/>
        <w:rPr>
          <w:rStyle w:val="12"/>
          <w:rFonts w:ascii="黑体" w:hAnsi="宋体" w:eastAsia="黑体"/>
          <w:color w:val="000000"/>
          <w:spacing w:val="-4"/>
          <w:sz w:val="32"/>
        </w:rPr>
      </w:pPr>
      <w:r>
        <w:rPr>
          <w:rStyle w:val="12"/>
          <w:rFonts w:hint="eastAsia" w:ascii="黑体" w:hAnsi="宋体" w:eastAsia="黑体"/>
          <w:color w:val="000000"/>
          <w:spacing w:val="-4"/>
          <w:sz w:val="32"/>
        </w:rPr>
        <w:t>二</w:t>
      </w:r>
      <w:r>
        <w:rPr>
          <w:rStyle w:val="12"/>
          <w:rFonts w:ascii="黑体" w:hAnsi="宋体" w:eastAsia="黑体"/>
          <w:color w:val="000000"/>
          <w:spacing w:val="-4"/>
          <w:sz w:val="32"/>
        </w:rPr>
        <w:t>、时间安排</w:t>
      </w:r>
    </w:p>
    <w:p>
      <w:pPr>
        <w:spacing w:line="560" w:lineRule="exact"/>
        <w:ind w:firstLine="640" w:firstLineChars="200"/>
        <w:textAlignment w:val="baseline"/>
        <w:rPr>
          <w:rFonts w:ascii="仿宋_GB2312" w:hAnsi="宋体" w:eastAsia="仿宋_GB2312" w:cs="Courier New"/>
          <w:color w:val="000000"/>
          <w:sz w:val="32"/>
          <w:szCs w:val="32"/>
        </w:rPr>
      </w:pPr>
      <w:r>
        <w:rPr>
          <w:rFonts w:hint="eastAsia" w:ascii="仿宋_GB2312" w:hAnsi="宋体" w:eastAsia="仿宋_GB2312" w:cs="Courier New"/>
          <w:color w:val="000000"/>
          <w:sz w:val="32"/>
          <w:szCs w:val="32"/>
        </w:rPr>
        <w:t>10月底前完成代表作外审，11月上旬完成教师系列个人申报，11月底完成校内评审。</w:t>
      </w:r>
    </w:p>
    <w:p>
      <w:pPr>
        <w:spacing w:line="560" w:lineRule="exact"/>
        <w:ind w:firstLine="624" w:firstLineChars="200"/>
        <w:textAlignment w:val="baseline"/>
        <w:rPr>
          <w:rStyle w:val="12"/>
          <w:rFonts w:ascii="黑体" w:hAnsi="宋体" w:eastAsia="黑体"/>
          <w:color w:val="000000"/>
          <w:spacing w:val="-4"/>
          <w:sz w:val="32"/>
        </w:rPr>
      </w:pPr>
      <w:r>
        <w:rPr>
          <w:rStyle w:val="12"/>
          <w:rFonts w:hint="eastAsia" w:ascii="黑体" w:hAnsi="宋体" w:eastAsia="黑体"/>
          <w:color w:val="000000"/>
          <w:spacing w:val="-4"/>
          <w:sz w:val="32"/>
        </w:rPr>
        <w:t>三、代表作外审</w:t>
      </w:r>
    </w:p>
    <w:p>
      <w:pPr>
        <w:spacing w:line="560" w:lineRule="exact"/>
        <w:ind w:firstLine="640" w:firstLineChars="200"/>
        <w:rPr>
          <w:rFonts w:ascii="仿宋_GB2312" w:hAnsi="宋体" w:eastAsia="仿宋_GB2312" w:cs="Courier New"/>
          <w:color w:val="000000"/>
          <w:sz w:val="32"/>
          <w:szCs w:val="32"/>
        </w:rPr>
      </w:pPr>
      <w:r>
        <w:rPr>
          <w:rFonts w:ascii="仿宋_GB2312" w:hAnsi="宋体" w:eastAsia="仿宋_GB2312" w:cs="Courier New"/>
          <w:color w:val="000000"/>
          <w:sz w:val="32"/>
          <w:szCs w:val="32"/>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ge">
                  <wp:posOffset>9758680</wp:posOffset>
                </wp:positionV>
                <wp:extent cx="6120130" cy="0"/>
                <wp:effectExtent l="0" t="28575" r="13970" b="28575"/>
                <wp:wrapTopAndBottom/>
                <wp:docPr id="6" name="直接连接符 6"/>
                <wp:cNvGraphicFramePr/>
                <a:graphic xmlns:a="http://schemas.openxmlformats.org/drawingml/2006/main">
                  <a:graphicData uri="http://schemas.microsoft.com/office/word/2010/wordprocessingShape">
                    <wps:wsp>
                      <wps:cNvCnPr/>
                      <wps:spPr>
                        <a:xfrm>
                          <a:off x="0" y="0"/>
                          <a:ext cx="6120130" cy="0"/>
                        </a:xfrm>
                        <a:prstGeom prst="line">
                          <a:avLst/>
                        </a:prstGeom>
                        <a:ln w="57150" cap="flat" cmpd="thinThick">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top:768.4pt;height:0pt;width:481.9pt;mso-position-horizontal:center;mso-position-vertical-relative:page;mso-wrap-distance-bottom:0pt;mso-wrap-distance-top:0pt;z-index:251659264;mso-width-relative:page;mso-height-relative:page;" filled="f" stroked="t" coordsize="21600,21600" o:gfxdata="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G6yA51QAAAAoBAAAPAAAAAAAAAAEAIAAAACIAAABkcnMvZG93bnJl&#10;di54bWxQSwECFAAUAAAACACHTuJAka3JKwACAAD5AwAADgAAAAAAAAABACAAAAAkAQAAZHJzL2Uy&#10;b0RvYy54bWxQSwUGAAAAAAYABgBZAQAAlgUAAAAA&#10;">
                <v:fill on="f" focussize="0,0"/>
                <v:stroke weight="4.5pt" color="#FF0000" linestyle="thinThick" joinstyle="round"/>
                <v:imagedata o:title=""/>
                <o:lock v:ext="edit" aspectratio="f"/>
                <w10:wrap type="topAndBottom"/>
              </v:line>
            </w:pict>
          </mc:Fallback>
        </mc:AlternateContent>
      </w:r>
      <w:r>
        <w:fldChar w:fldCharType="begin"/>
      </w:r>
      <w:r>
        <w:instrText xml:space="preserve"> HYPERLINK "mailto:1.2023年10月20日前将2023年教师系列职称评审申报人员汇总表附件1（并填写教授、副教授是否送审）纸质版、申报教授人员将代表作外审材料（纸质）报校职改办（骊山校园办公楼403室）及电子版发送至shizike@xust.edu.cn。申报教授人员上报代表作3篇，需与评审表中代表作一致，由学校职称改革办公室统一送审。" </w:instrText>
      </w:r>
      <w:r>
        <w:fldChar w:fldCharType="separate"/>
      </w:r>
      <w:r>
        <w:rPr>
          <w:rFonts w:hint="eastAsia" w:ascii="仿宋_GB2312" w:hAnsi="宋体" w:eastAsia="仿宋_GB2312" w:cs="Courier New"/>
          <w:color w:val="000000"/>
          <w:sz w:val="32"/>
          <w:szCs w:val="32"/>
        </w:rPr>
        <w:t>1.10月20日前将2023年教师系列职称评审申报人员汇总表附件1（并填写教授、副教授是否送审）纸质版、申报教授人员将代表作外审材料（纸质）报学校职称改革办公室（骊山校园办公楼403室）及电子版发送至shizike@xust.edu.cn。申报教授上报代表作3篇，需与评审表中代表作一致，由学校职称改革办公室统一送审。</w:t>
      </w:r>
      <w:r>
        <w:rPr>
          <w:rFonts w:hint="eastAsia" w:ascii="仿宋_GB2312" w:hAnsi="宋体" w:eastAsia="仿宋_GB2312" w:cs="Courier New"/>
          <w:color w:val="000000"/>
          <w:sz w:val="32"/>
          <w:szCs w:val="32"/>
        </w:rPr>
        <w:fldChar w:fldCharType="end"/>
      </w:r>
    </w:p>
    <w:p>
      <w:pPr>
        <w:spacing w:line="560" w:lineRule="exact"/>
        <w:ind w:firstLine="640" w:firstLineChars="200"/>
        <w:rPr>
          <w:rFonts w:ascii="仿宋_GB2312" w:hAnsi="宋体" w:eastAsia="仿宋_GB2312" w:cs="Courier New"/>
          <w:color w:val="000000"/>
          <w:sz w:val="32"/>
          <w:szCs w:val="32"/>
        </w:rPr>
      </w:pPr>
      <w:r>
        <w:rPr>
          <w:rFonts w:hint="eastAsia" w:ascii="仿宋_GB2312" w:hAnsi="宋体" w:eastAsia="仿宋_GB2312" w:cs="Courier New"/>
          <w:color w:val="000000"/>
          <w:sz w:val="32"/>
          <w:szCs w:val="32"/>
        </w:rPr>
        <w:t>2.申报副教授人员</w:t>
      </w:r>
      <w:r>
        <w:rPr>
          <w:rFonts w:hint="eastAsia" w:ascii="仿宋_GB2312" w:hAnsi="宋体" w:eastAsia="仿宋_GB2312"/>
          <w:spacing w:val="-4"/>
          <w:sz w:val="32"/>
        </w:rPr>
        <w:t>上报代表作2篇，需与评审表中代表作一致，</w:t>
      </w:r>
      <w:r>
        <w:rPr>
          <w:rFonts w:hint="eastAsia" w:ascii="仿宋_GB2312" w:hAnsi="宋体" w:eastAsia="仿宋_GB2312" w:cs="Courier New"/>
          <w:color w:val="000000"/>
          <w:sz w:val="32"/>
          <w:szCs w:val="32"/>
        </w:rPr>
        <w:t>将代表作外审材料交学院（部）办公室，由各学院（部）统一送审。各学院（部）于10月31日前将西安科技大学2023年副教授代表作送审结论汇总表报送校职改办（骊山校园403室）。</w:t>
      </w:r>
    </w:p>
    <w:p>
      <w:pPr>
        <w:spacing w:line="560" w:lineRule="exact"/>
        <w:ind w:firstLine="640" w:firstLineChars="200"/>
        <w:rPr>
          <w:rFonts w:ascii="仿宋_GB2312" w:hAnsi="宋体" w:eastAsia="仿宋_GB2312"/>
          <w:spacing w:val="-4"/>
          <w:sz w:val="32"/>
        </w:rPr>
      </w:pPr>
      <w:r>
        <w:rPr>
          <w:rFonts w:hint="eastAsia" w:ascii="仿宋_GB2312" w:hAnsi="宋体" w:eastAsia="仿宋_GB2312" w:cs="Courier New"/>
          <w:color w:val="000000"/>
          <w:sz w:val="32"/>
          <w:szCs w:val="32"/>
        </w:rPr>
        <w:t>3.</w:t>
      </w:r>
      <w:r>
        <w:rPr>
          <w:rFonts w:hint="eastAsia" w:ascii="仿宋_GB2312" w:hAnsi="宋体" w:eastAsia="仿宋_GB2312"/>
          <w:spacing w:val="-4"/>
          <w:sz w:val="32"/>
        </w:rPr>
        <w:t>教师系列所有申报高级职务者须统一将代表作送校外同行专家进行鉴定，2021年和2022年鉴定结论为“通过”者，2023年可不报送同行专家进行鉴定。</w:t>
      </w:r>
    </w:p>
    <w:p>
      <w:pPr>
        <w:spacing w:line="560" w:lineRule="exact"/>
        <w:ind w:firstLine="624" w:firstLineChars="200"/>
        <w:textAlignment w:val="baseline"/>
        <w:rPr>
          <w:rStyle w:val="12"/>
          <w:rFonts w:ascii="黑体" w:hAnsi="宋体" w:eastAsia="黑体"/>
          <w:color w:val="000000"/>
          <w:spacing w:val="-4"/>
          <w:sz w:val="32"/>
        </w:rPr>
      </w:pPr>
      <w:r>
        <w:rPr>
          <w:rStyle w:val="12"/>
          <w:rFonts w:hint="eastAsia" w:ascii="黑体" w:hAnsi="宋体" w:eastAsia="黑体"/>
          <w:color w:val="000000"/>
          <w:spacing w:val="-4"/>
          <w:sz w:val="32"/>
        </w:rPr>
        <w:t>四</w:t>
      </w:r>
      <w:r>
        <w:rPr>
          <w:rStyle w:val="12"/>
          <w:rFonts w:ascii="黑体" w:hAnsi="宋体" w:eastAsia="黑体"/>
          <w:color w:val="000000"/>
          <w:spacing w:val="-4"/>
          <w:sz w:val="32"/>
        </w:rPr>
        <w:t>、注意事项</w:t>
      </w:r>
    </w:p>
    <w:p>
      <w:pPr>
        <w:pStyle w:val="2"/>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1.2023年教师系列职称正常评审、破格评审和特别评审工作分别按照《西安科技大学教师职务评审工作实施办法（试行）》（西科发〔2018〕33号）、《西安科技大学破格评审教授、副教授职务评审工作实施办法（试行）》（西科发〔2020〕34号）、《西安科技大学特别评审教授、副教授职务评审工作实施办法（试行）》（西科发〔2020〕36号）和《西安科技大学国家自然（社会）科学基金专项管理办法(试行)》执行，同时结合陕西省人社厅陕西省教育厅《关于开展2023年全省高等学校教师系列职称评审工作的通知》（陕人社函〔2023〕492号）相关要求开展申报和评审等工作。</w:t>
      </w:r>
    </w:p>
    <w:p>
      <w:pPr>
        <w:pStyle w:val="2"/>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2.申请转评职称系列的教师须在拟转评岗位工作满1年，并符合拟转评专业技术职称的任职条件。</w:t>
      </w:r>
    </w:p>
    <w:p>
      <w:pPr>
        <w:pStyle w:val="2"/>
        <w:spacing w:line="560" w:lineRule="exact"/>
        <w:ind w:left="0" w:leftChars="0"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3.有下列情形之一的，不得申报：</w:t>
      </w:r>
    </w:p>
    <w:p>
      <w:pPr>
        <w:pStyle w:val="2"/>
        <w:spacing w:line="560" w:lineRule="exact"/>
        <w:ind w:left="0" w:leftChars="0"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①近五年年度考核不合格（不称职）或被单位通报批评者；</w:t>
      </w:r>
    </w:p>
    <w:p>
      <w:pPr>
        <w:pStyle w:val="2"/>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②任现职以来出现重大工作事故，造成恶劣影响的；</w:t>
      </w:r>
    </w:p>
    <w:p>
      <w:pPr>
        <w:pStyle w:val="2"/>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③受到党政纪处分，处分期未满的；</w:t>
      </w:r>
    </w:p>
    <w:p>
      <w:pPr>
        <w:pStyle w:val="2"/>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④个人有严重失信记录，被列入“黑名单”的；</w:t>
      </w:r>
    </w:p>
    <w:p>
      <w:pPr>
        <w:pStyle w:val="2"/>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⑤提交弄虚作假材料的，取消当年参评资格，三年内不得重新申报。</w:t>
      </w:r>
    </w:p>
    <w:p>
      <w:pPr>
        <w:spacing w:line="560" w:lineRule="exact"/>
        <w:ind w:firstLine="624" w:firstLineChars="200"/>
        <w:textAlignment w:val="baseline"/>
        <w:rPr>
          <w:rStyle w:val="12"/>
          <w:rFonts w:eastAsia="仿宋_GB2312"/>
          <w:color w:val="000000"/>
          <w:sz w:val="32"/>
        </w:rPr>
      </w:pPr>
      <w:r>
        <w:rPr>
          <w:rStyle w:val="12"/>
          <w:rFonts w:hint="eastAsia" w:ascii="黑体" w:hAnsi="宋体" w:eastAsia="黑体"/>
          <w:color w:val="000000"/>
          <w:spacing w:val="-4"/>
          <w:sz w:val="32"/>
        </w:rPr>
        <w:t>五</w:t>
      </w:r>
      <w:r>
        <w:rPr>
          <w:rStyle w:val="12"/>
          <w:rFonts w:ascii="黑体" w:hAnsi="宋体" w:eastAsia="黑体"/>
          <w:color w:val="000000"/>
          <w:spacing w:val="-4"/>
          <w:sz w:val="32"/>
        </w:rPr>
        <w:t>、几点要求</w:t>
      </w:r>
    </w:p>
    <w:p>
      <w:pPr>
        <w:spacing w:line="560" w:lineRule="exact"/>
        <w:ind w:firstLine="640" w:firstLineChars="200"/>
        <w:rPr>
          <w:rFonts w:ascii="仿宋_GB2312" w:hAnsi="宋体" w:eastAsia="仿宋_GB2312" w:cs="Courier New"/>
          <w:color w:val="000000"/>
          <w:sz w:val="32"/>
          <w:szCs w:val="32"/>
        </w:rPr>
      </w:pPr>
      <w:r>
        <w:rPr>
          <w:rFonts w:hint="eastAsia" w:ascii="仿宋_GB2312" w:hAnsi="宋体" w:eastAsia="仿宋_GB2312" w:cs="Courier New"/>
          <w:color w:val="000000"/>
          <w:sz w:val="32"/>
          <w:szCs w:val="32"/>
        </w:rPr>
        <w:t>1.各学院（部）要将本通知要求及时传达给每位申报人，拟申报人员填写附件1，以学院（部）为单位统一报送，认真做好个人申报材料的收集整理等准备工作。拟申报人员还需填写《教师系列申报职称诚信承诺书》《教</w:t>
      </w:r>
      <w:r>
        <w:rPr>
          <w:rFonts w:hint="eastAsia" w:ascii="仿宋_GB2312" w:hAnsi="宋体" w:eastAsia="仿宋_GB2312" w:cs="Courier New"/>
          <w:color w:val="000000"/>
          <w:spacing w:val="-11"/>
          <w:sz w:val="32"/>
          <w:szCs w:val="32"/>
        </w:rPr>
        <w:t>师系列申报职称思想政治和师德师风情况表》，交材料时统一提交。</w:t>
      </w:r>
    </w:p>
    <w:p>
      <w:pPr>
        <w:spacing w:line="560" w:lineRule="exact"/>
        <w:ind w:firstLine="640" w:firstLineChars="200"/>
        <w:rPr>
          <w:rFonts w:ascii="仿宋_GB2312" w:hAnsi="宋体" w:eastAsia="仿宋_GB2312" w:cs="Courier New"/>
          <w:color w:val="000000"/>
          <w:sz w:val="32"/>
          <w:szCs w:val="32"/>
        </w:rPr>
      </w:pPr>
      <w:r>
        <w:rPr>
          <w:rFonts w:hint="eastAsia" w:ascii="仿宋_GB2312" w:hAnsi="宋体" w:eastAsia="仿宋_GB2312" w:cs="Courier New"/>
          <w:color w:val="000000"/>
          <w:sz w:val="32"/>
          <w:szCs w:val="32"/>
        </w:rPr>
        <w:t>2.同行专家评议是申报教师系列高级职称工作中的重要一环，请各学院（部）务必要高度重视，做好宣传工作，由于代表作送审工作繁琐复杂，请严格把关，原则上外审工作一旦开展，后期将不予追加代表作外审。</w:t>
      </w:r>
    </w:p>
    <w:p>
      <w:pPr>
        <w:spacing w:line="560" w:lineRule="exact"/>
        <w:ind w:firstLine="624" w:firstLineChars="200"/>
      </w:pPr>
      <w:r>
        <w:rPr>
          <w:rFonts w:hint="eastAsia" w:ascii="仿宋_GB2312" w:hAnsi="宋体" w:eastAsia="仿宋_GB2312"/>
          <w:color w:val="000000"/>
          <w:spacing w:val="-4"/>
          <w:sz w:val="32"/>
        </w:rPr>
        <w:t>3.</w:t>
      </w:r>
      <w:r>
        <w:rPr>
          <w:rFonts w:hint="eastAsia" w:ascii="仿宋_GB2312" w:hAnsi="宋体" w:eastAsia="仿宋_GB2312" w:cs="Courier New"/>
          <w:color w:val="000000"/>
          <w:sz w:val="32"/>
          <w:szCs w:val="32"/>
        </w:rPr>
        <w:t>各学院（部）</w:t>
      </w:r>
      <w:r>
        <w:rPr>
          <w:rFonts w:hint="eastAsia" w:ascii="仿宋_GB2312" w:hAnsi="宋体" w:eastAsia="仿宋_GB2312"/>
          <w:color w:val="000000"/>
          <w:spacing w:val="-4"/>
          <w:sz w:val="32"/>
        </w:rPr>
        <w:t>须成立职称评审工作组，组长由</w:t>
      </w:r>
      <w:r>
        <w:rPr>
          <w:rFonts w:hint="eastAsia" w:ascii="仿宋_GB2312" w:hAnsi="宋体" w:eastAsia="仿宋_GB2312" w:cs="Courier New"/>
          <w:color w:val="000000"/>
          <w:sz w:val="32"/>
          <w:szCs w:val="32"/>
        </w:rPr>
        <w:t>学院（部）</w:t>
      </w:r>
      <w:r>
        <w:rPr>
          <w:rFonts w:hint="eastAsia" w:ascii="仿宋_GB2312" w:hAnsi="宋体" w:eastAsia="仿宋_GB2312"/>
          <w:color w:val="000000"/>
          <w:spacing w:val="-4"/>
          <w:sz w:val="32"/>
        </w:rPr>
        <w:t>负责人兼任，职称评审工作组负责组织对本单位职称评审申报材料的审查、公示、上报等工作。</w:t>
      </w:r>
    </w:p>
    <w:p>
      <w:pPr>
        <w:spacing w:line="560" w:lineRule="exact"/>
        <w:ind w:firstLine="624" w:firstLineChars="200"/>
        <w:rPr>
          <w:rFonts w:ascii="仿宋_GB2312" w:hAnsi="宋体" w:eastAsia="仿宋_GB2312"/>
          <w:color w:val="000000"/>
          <w:spacing w:val="-4"/>
          <w:sz w:val="32"/>
        </w:rPr>
      </w:pPr>
      <w:r>
        <w:rPr>
          <w:rFonts w:hint="eastAsia" w:ascii="仿宋_GB2312" w:hAnsi="宋体" w:eastAsia="仿宋_GB2312"/>
          <w:color w:val="000000"/>
          <w:spacing w:val="-4"/>
          <w:sz w:val="32"/>
        </w:rPr>
        <w:t>4.2023年教师系列职称评审申报人员汇总表详见附件1；2023年度教师系列高、中、初级职称评审工作安排详见附件2；职称评审电子化材料要求详见附件3；附件4、5相关表格请从人事处网站或者人事工作群下载。</w:t>
      </w:r>
    </w:p>
    <w:p>
      <w:pPr>
        <w:spacing w:line="560" w:lineRule="exact"/>
        <w:ind w:firstLine="640" w:firstLineChars="200"/>
        <w:rPr>
          <w:rFonts w:hint="eastAsia" w:ascii="仿宋_GB2312" w:hAnsi="宋体" w:eastAsia="仿宋_GB2312" w:cs="Courier New"/>
          <w:color w:val="000000"/>
          <w:sz w:val="32"/>
          <w:szCs w:val="32"/>
        </w:rPr>
      </w:pPr>
      <w:r>
        <w:rPr>
          <w:rFonts w:hint="eastAsia" w:ascii="仿宋_GB2312" w:hAnsi="宋体" w:eastAsia="仿宋_GB2312" w:cs="Courier New"/>
          <w:color w:val="000000"/>
          <w:sz w:val="32"/>
          <w:szCs w:val="32"/>
        </w:rPr>
        <w:t>联系人：宁晓晴     联系电话：83858189</w:t>
      </w:r>
    </w:p>
    <w:p>
      <w:pPr>
        <w:spacing w:line="560" w:lineRule="exact"/>
        <w:ind w:firstLine="640" w:firstLineChars="200"/>
        <w:rPr>
          <w:rFonts w:hint="eastAsia" w:ascii="仿宋_GB2312" w:hAnsi="宋体" w:eastAsia="仿宋_GB2312" w:cs="Courier New"/>
          <w:color w:val="000000"/>
          <w:sz w:val="32"/>
          <w:szCs w:val="32"/>
        </w:rPr>
      </w:pPr>
    </w:p>
    <w:p>
      <w:pPr>
        <w:spacing w:line="560" w:lineRule="exact"/>
        <w:ind w:firstLine="640" w:firstLineChars="200"/>
        <w:rPr>
          <w:rFonts w:ascii="仿宋_GB2312" w:hAnsi="宋体" w:eastAsia="仿宋_GB2312" w:cs="Courier New"/>
          <w:color w:val="000000"/>
          <w:sz w:val="32"/>
          <w:szCs w:val="32"/>
        </w:rPr>
      </w:pPr>
      <w:r>
        <w:rPr>
          <w:rFonts w:hint="eastAsia" w:ascii="仿宋_GB2312" w:hAnsi="宋体" w:eastAsia="仿宋_GB2312" w:cs="Courier New"/>
          <w:color w:val="000000"/>
          <w:sz w:val="32"/>
          <w:szCs w:val="32"/>
        </w:rPr>
        <w:t>附件：（相关表格请从人事处网站或人事工作群下载）</w:t>
      </w:r>
    </w:p>
    <w:p>
      <w:pPr>
        <w:spacing w:line="560" w:lineRule="exact"/>
        <w:ind w:firstLine="1600" w:firstLineChars="500"/>
        <w:rPr>
          <w:rFonts w:ascii="仿宋_GB2312" w:hAnsi="宋体" w:eastAsia="仿宋_GB2312" w:cs="Courier New"/>
          <w:color w:val="000000"/>
          <w:sz w:val="32"/>
          <w:szCs w:val="32"/>
        </w:rPr>
      </w:pPr>
      <w:r>
        <w:rPr>
          <w:rFonts w:hint="eastAsia" w:ascii="仿宋_GB2312" w:eastAsia="仿宋_GB2312" w:cs="Courier New"/>
          <w:sz w:val="32"/>
          <w:szCs w:val="32"/>
        </w:rPr>
        <w:t>1.</w:t>
      </w:r>
      <w:r>
        <w:rPr>
          <w:rFonts w:hint="eastAsia" w:ascii="仿宋_GB2312" w:hAnsi="宋体" w:eastAsia="仿宋_GB2312"/>
          <w:spacing w:val="-4"/>
          <w:sz w:val="32"/>
        </w:rPr>
        <w:t>2023年教师系列职称评审申报人员汇总表</w:t>
      </w:r>
    </w:p>
    <w:p>
      <w:pPr>
        <w:spacing w:line="560" w:lineRule="exact"/>
        <w:ind w:firstLine="1600" w:firstLineChars="500"/>
        <w:rPr>
          <w:rFonts w:ascii="仿宋_GB2312" w:hAnsi="仿宋_GB2312" w:eastAsia="仿宋_GB2312" w:cs="Courier New"/>
          <w:color w:val="000000"/>
          <w:w w:val="98"/>
          <w:sz w:val="32"/>
          <w:szCs w:val="32"/>
        </w:rPr>
      </w:pPr>
      <w:r>
        <w:rPr>
          <w:rFonts w:hint="eastAsia" w:ascii="仿宋_GB2312" w:hAnsi="宋体" w:eastAsia="仿宋_GB2312" w:cs="Courier New"/>
          <w:color w:val="000000"/>
          <w:sz w:val="32"/>
          <w:szCs w:val="32"/>
        </w:rPr>
        <w:t>2.</w:t>
      </w:r>
      <w:r>
        <w:rPr>
          <w:rFonts w:hint="eastAsia" w:ascii="仿宋_GB2312" w:hAnsi="仿宋_GB2312" w:eastAsia="仿宋_GB2312" w:cs="Courier New"/>
          <w:color w:val="000000"/>
          <w:w w:val="98"/>
          <w:sz w:val="32"/>
          <w:szCs w:val="32"/>
        </w:rPr>
        <w:t>2023年度教师系列高、中、初级职称评审工作安排</w:t>
      </w:r>
    </w:p>
    <w:p>
      <w:pPr>
        <w:spacing w:line="560" w:lineRule="exact"/>
        <w:ind w:firstLine="1600" w:firstLineChars="500"/>
        <w:rPr>
          <w:rFonts w:hint="eastAsia" w:ascii="仿宋_GB2312" w:hAnsi="Times New Roman" w:eastAsia="仿宋_GB2312" w:cs="Courier New"/>
          <w:sz w:val="32"/>
          <w:szCs w:val="32"/>
        </w:rPr>
      </w:pPr>
      <w:r>
        <w:rPr>
          <w:rFonts w:hint="eastAsia" w:ascii="仿宋_GB2312" w:hAnsi="Times New Roman" w:eastAsia="仿宋_GB2312" w:cs="Courier New"/>
          <w:sz w:val="32"/>
          <w:szCs w:val="32"/>
        </w:rPr>
        <w:t>3.职称评审电子化材料要求</w:t>
      </w:r>
    </w:p>
    <w:p>
      <w:pPr>
        <w:spacing w:line="560" w:lineRule="exact"/>
        <w:ind w:firstLine="1600" w:firstLineChars="500"/>
        <w:rPr>
          <w:rFonts w:hint="eastAsia" w:ascii="仿宋_GB2312" w:hAnsi="仿宋_GB2312" w:eastAsia="仿宋_GB2312" w:cs="Courier New"/>
          <w:spacing w:val="0"/>
          <w:w w:val="95"/>
          <w:sz w:val="32"/>
          <w:szCs w:val="32"/>
        </w:rPr>
      </w:pPr>
      <w:r>
        <w:rPr>
          <w:rFonts w:hint="eastAsia" w:ascii="仿宋_GB2312" w:hAnsi="Times New Roman" w:eastAsia="仿宋_GB2312" w:cs="Courier New"/>
          <w:spacing w:val="0"/>
          <w:sz w:val="32"/>
          <w:szCs w:val="32"/>
        </w:rPr>
        <w:t>4.</w:t>
      </w:r>
      <w:r>
        <w:rPr>
          <w:rFonts w:hint="eastAsia" w:ascii="仿宋_GB2312" w:hAnsi="仿宋_GB2312" w:eastAsia="仿宋_GB2312" w:cs="Courier New"/>
          <w:spacing w:val="0"/>
          <w:w w:val="95"/>
          <w:sz w:val="32"/>
          <w:szCs w:val="32"/>
        </w:rPr>
        <w:t>2023年拟申报教授、副教授人员代表作外审相关表格</w:t>
      </w:r>
    </w:p>
    <w:p>
      <w:pPr>
        <w:spacing w:line="560" w:lineRule="exact"/>
        <w:ind w:firstLine="1600" w:firstLineChars="500"/>
        <w:rPr>
          <w:rFonts w:hint="eastAsia" w:ascii="仿宋_GB2312" w:hAnsi="Times New Roman" w:eastAsia="仿宋_GB2312" w:cs="Courier New"/>
          <w:spacing w:val="0"/>
          <w:sz w:val="32"/>
          <w:szCs w:val="32"/>
        </w:rPr>
      </w:pPr>
      <w:r>
        <w:rPr>
          <w:rFonts w:hint="eastAsia" w:ascii="仿宋_GB2312" w:hAnsi="Times New Roman" w:eastAsia="仿宋_GB2312" w:cs="Courier New"/>
          <w:spacing w:val="0"/>
          <w:sz w:val="32"/>
          <w:szCs w:val="32"/>
          <w:lang w:val="en-US" w:eastAsia="zh-CN"/>
        </w:rPr>
        <w:t>5.</w:t>
      </w:r>
      <w:r>
        <w:rPr>
          <w:rFonts w:hint="eastAsia" w:ascii="仿宋_GB2312" w:hAnsi="Times New Roman" w:eastAsia="仿宋_GB2312" w:cs="Courier New"/>
          <w:spacing w:val="0"/>
          <w:sz w:val="32"/>
          <w:szCs w:val="32"/>
        </w:rPr>
        <w:t>教师系列专业技术职务任职资格评审表相关表格</w:t>
      </w:r>
    </w:p>
    <w:p>
      <w:pPr>
        <w:spacing w:line="560" w:lineRule="exact"/>
        <w:ind w:firstLine="1600" w:firstLineChars="500"/>
        <w:rPr>
          <w:rFonts w:hint="eastAsia" w:ascii="仿宋_GB2312" w:hAnsi="Times New Roman" w:eastAsia="仿宋_GB2312" w:cs="Courier New"/>
          <w:spacing w:val="0"/>
          <w:sz w:val="32"/>
          <w:szCs w:val="32"/>
        </w:rPr>
      </w:pPr>
    </w:p>
    <w:p>
      <w:pPr>
        <w:spacing w:line="560" w:lineRule="exact"/>
        <w:ind w:firstLine="1600" w:firstLineChars="500"/>
        <w:rPr>
          <w:rFonts w:hint="eastAsia" w:ascii="仿宋_GB2312" w:hAnsi="Times New Roman" w:eastAsia="仿宋_GB2312" w:cs="Courier New"/>
          <w:spacing w:val="0"/>
          <w:sz w:val="32"/>
          <w:szCs w:val="32"/>
        </w:rPr>
      </w:pPr>
    </w:p>
    <w:p>
      <w:pPr>
        <w:wordWrap w:val="0"/>
        <w:spacing w:line="560" w:lineRule="exact"/>
        <w:jc w:val="right"/>
        <w:rPr>
          <w:rFonts w:hint="default" w:ascii="仿宋_GB2312" w:hAnsi="宋体" w:eastAsia="仿宋_GB2312"/>
          <w:spacing w:val="-11"/>
          <w:sz w:val="32"/>
          <w:lang w:val="en-US" w:eastAsia="zh-CN"/>
        </w:rPr>
      </w:pPr>
      <w:r>
        <w:rPr>
          <w:rFonts w:hint="eastAsia" w:ascii="仿宋_GB2312" w:hAnsi="宋体" w:eastAsia="仿宋_GB2312"/>
          <w:spacing w:val="-11"/>
          <w:sz w:val="32"/>
          <w:lang w:val="en-US" w:eastAsia="zh-CN"/>
        </w:rPr>
        <w:t xml:space="preserve">人事处                    </w:t>
      </w:r>
    </w:p>
    <w:p>
      <w:pPr>
        <w:wordWrap w:val="0"/>
        <w:spacing w:line="560" w:lineRule="exact"/>
        <w:ind w:firstLine="0" w:firstLineChars="0"/>
        <w:jc w:val="right"/>
        <w:rPr>
          <w:rFonts w:hint="eastAsia" w:ascii="仿宋_GB2312" w:hAnsi="宋体" w:eastAsia="仿宋_GB2312" w:cs="Times New Roman"/>
          <w:spacing w:val="-11"/>
          <w:sz w:val="32"/>
          <w:szCs w:val="24"/>
          <w:lang w:val="en-US" w:eastAsia="zh-CN"/>
        </w:rPr>
      </w:pPr>
      <w:r>
        <w:rPr>
          <w:rFonts w:hint="eastAsia" w:ascii="仿宋_GB2312" w:hAnsi="宋体" w:eastAsia="仿宋_GB2312" w:cs="Times New Roman"/>
          <w:spacing w:val="-11"/>
          <w:sz w:val="32"/>
          <w:szCs w:val="24"/>
        </w:rPr>
        <w:t xml:space="preserve">2023年10月18日    </w:t>
      </w:r>
    </w:p>
    <w:p>
      <w:pPr>
        <w:wordWrap/>
        <w:spacing w:line="560" w:lineRule="exact"/>
        <w:ind w:firstLine="0" w:firstLineChars="0"/>
        <w:jc w:val="both"/>
        <w:rPr>
          <w:rFonts w:hint="eastAsia" w:ascii="仿宋_GB2312" w:hAnsi="宋体" w:eastAsia="仿宋_GB2312" w:cs="Times New Roman"/>
          <w:spacing w:val="-11"/>
          <w:sz w:val="32"/>
          <w:szCs w:val="24"/>
          <w:lang w:val="en-US" w:eastAsia="zh-CN"/>
        </w:rPr>
      </w:pPr>
    </w:p>
    <w:p>
      <w:pPr>
        <w:spacing w:line="240" w:lineRule="auto"/>
        <w:rPr>
          <w:rFonts w:hint="eastAsia" w:ascii="黑体" w:eastAsia="黑体"/>
          <w:sz w:val="32"/>
          <w:szCs w:val="32"/>
        </w:rPr>
      </w:pPr>
      <w:r>
        <w:rPr>
          <w:rFonts w:hint="eastAsia" w:ascii="黑体" w:eastAsia="黑体"/>
          <w:sz w:val="32"/>
          <w:szCs w:val="32"/>
        </w:rPr>
        <w:br w:type="page"/>
      </w:r>
    </w:p>
    <w:p>
      <w:pPr>
        <w:spacing w:line="560" w:lineRule="exact"/>
        <w:rPr>
          <w:rFonts w:ascii="黑体" w:eastAsia="黑体"/>
          <w:sz w:val="32"/>
          <w:szCs w:val="32"/>
        </w:rPr>
      </w:pPr>
      <w:r>
        <w:rPr>
          <w:rFonts w:hint="eastAsia" w:ascii="黑体" w:eastAsia="黑体"/>
          <w:sz w:val="32"/>
          <w:szCs w:val="32"/>
        </w:rPr>
        <w:t>附件1：</w:t>
      </w:r>
    </w:p>
    <w:p>
      <w:pPr>
        <w:adjustRightInd w:val="0"/>
        <w:snapToGrid w:val="0"/>
        <w:spacing w:afterLines="150"/>
        <w:jc w:val="center"/>
        <w:rPr>
          <w:rFonts w:ascii="仿宋_GB2312" w:eastAsia="仿宋_GB2312"/>
          <w:b/>
          <w:sz w:val="36"/>
          <w:szCs w:val="36"/>
        </w:rPr>
      </w:pPr>
      <w:r>
        <w:rPr>
          <w:rFonts w:hint="eastAsia" w:ascii="宋体" w:hAnsi="宋体"/>
          <w:b/>
          <w:sz w:val="36"/>
          <w:szCs w:val="36"/>
        </w:rPr>
        <w:t>2023年教师系列职称评审申报人员汇总表</w:t>
      </w:r>
    </w:p>
    <w:p>
      <w:pPr>
        <w:adjustRightInd w:val="0"/>
        <w:snapToGrid w:val="0"/>
        <w:rPr>
          <w:rFonts w:ascii="仿宋_GB2312" w:eastAsia="仿宋_GB2312"/>
          <w:sz w:val="28"/>
          <w:szCs w:val="28"/>
        </w:rPr>
      </w:pPr>
      <w:r>
        <w:rPr>
          <w:rFonts w:hint="eastAsia" w:ascii="仿宋_GB2312" w:eastAsia="仿宋_GB2312"/>
          <w:sz w:val="28"/>
          <w:szCs w:val="28"/>
        </w:rPr>
        <w:t>单位名称（盖章）：                                  时间：</w:t>
      </w:r>
    </w:p>
    <w:tbl>
      <w:tblPr>
        <w:tblStyle w:val="7"/>
        <w:tblW w:w="10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721"/>
        <w:gridCol w:w="682"/>
        <w:gridCol w:w="798"/>
        <w:gridCol w:w="689"/>
        <w:gridCol w:w="831"/>
        <w:gridCol w:w="1167"/>
        <w:gridCol w:w="1167"/>
        <w:gridCol w:w="1298"/>
        <w:gridCol w:w="1299"/>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 w:type="dxa"/>
            <w:vAlign w:val="center"/>
          </w:tcPr>
          <w:p>
            <w:pPr>
              <w:jc w:val="center"/>
              <w:rPr>
                <w:rFonts w:ascii="仿宋_GB2312" w:eastAsia="仿宋_GB2312"/>
                <w:sz w:val="21"/>
                <w:szCs w:val="21"/>
              </w:rPr>
            </w:pPr>
            <w:r>
              <w:rPr>
                <w:rFonts w:hint="eastAsia" w:ascii="仿宋_GB2312" w:eastAsia="仿宋_GB2312"/>
                <w:sz w:val="21"/>
                <w:szCs w:val="21"/>
              </w:rPr>
              <w:t>序号</w:t>
            </w:r>
          </w:p>
        </w:tc>
        <w:tc>
          <w:tcPr>
            <w:tcW w:w="721" w:type="dxa"/>
            <w:vAlign w:val="center"/>
          </w:tcPr>
          <w:p>
            <w:pPr>
              <w:jc w:val="center"/>
              <w:rPr>
                <w:rFonts w:ascii="仿宋_GB2312" w:eastAsia="仿宋_GB2312"/>
                <w:sz w:val="21"/>
                <w:szCs w:val="21"/>
              </w:rPr>
            </w:pPr>
            <w:r>
              <w:rPr>
                <w:rFonts w:hint="eastAsia" w:ascii="仿宋_GB2312" w:eastAsia="仿宋_GB2312"/>
                <w:sz w:val="21"/>
                <w:szCs w:val="21"/>
              </w:rPr>
              <w:t>工号</w:t>
            </w:r>
          </w:p>
        </w:tc>
        <w:tc>
          <w:tcPr>
            <w:tcW w:w="682" w:type="dxa"/>
            <w:vAlign w:val="center"/>
          </w:tcPr>
          <w:p>
            <w:pPr>
              <w:jc w:val="center"/>
              <w:rPr>
                <w:rFonts w:ascii="仿宋_GB2312" w:eastAsia="仿宋_GB2312"/>
                <w:sz w:val="21"/>
                <w:szCs w:val="21"/>
              </w:rPr>
            </w:pPr>
            <w:r>
              <w:rPr>
                <w:rFonts w:hint="eastAsia" w:ascii="仿宋_GB2312" w:eastAsia="仿宋_GB2312"/>
                <w:sz w:val="21"/>
                <w:szCs w:val="21"/>
              </w:rPr>
              <w:t>姓名</w:t>
            </w:r>
          </w:p>
        </w:tc>
        <w:tc>
          <w:tcPr>
            <w:tcW w:w="798" w:type="dxa"/>
            <w:vAlign w:val="center"/>
          </w:tcPr>
          <w:p>
            <w:pPr>
              <w:jc w:val="center"/>
              <w:rPr>
                <w:rFonts w:ascii="仿宋_GB2312" w:eastAsia="仿宋_GB2312"/>
                <w:sz w:val="21"/>
                <w:szCs w:val="21"/>
              </w:rPr>
            </w:pPr>
            <w:r>
              <w:rPr>
                <w:rFonts w:hint="eastAsia" w:ascii="仿宋_GB2312" w:eastAsia="仿宋_GB2312"/>
                <w:sz w:val="21"/>
                <w:szCs w:val="21"/>
              </w:rPr>
              <w:t>现任职</w:t>
            </w:r>
          </w:p>
          <w:p>
            <w:pPr>
              <w:jc w:val="center"/>
              <w:rPr>
                <w:rFonts w:ascii="仿宋_GB2312" w:eastAsia="仿宋_GB2312"/>
                <w:sz w:val="21"/>
                <w:szCs w:val="21"/>
              </w:rPr>
            </w:pPr>
            <w:r>
              <w:rPr>
                <w:rFonts w:hint="eastAsia" w:ascii="仿宋_GB2312" w:eastAsia="仿宋_GB2312"/>
                <w:sz w:val="21"/>
                <w:szCs w:val="21"/>
              </w:rPr>
              <w:t>资格</w:t>
            </w:r>
          </w:p>
        </w:tc>
        <w:tc>
          <w:tcPr>
            <w:tcW w:w="689" w:type="dxa"/>
            <w:vAlign w:val="center"/>
          </w:tcPr>
          <w:p>
            <w:pPr>
              <w:jc w:val="center"/>
              <w:rPr>
                <w:rFonts w:ascii="仿宋_GB2312" w:eastAsia="仿宋_GB2312"/>
                <w:sz w:val="21"/>
                <w:szCs w:val="21"/>
              </w:rPr>
            </w:pPr>
            <w:r>
              <w:rPr>
                <w:rFonts w:hint="eastAsia" w:ascii="仿宋_GB2312" w:eastAsia="仿宋_GB2312"/>
                <w:sz w:val="21"/>
                <w:szCs w:val="21"/>
              </w:rPr>
              <w:t>任职时间</w:t>
            </w:r>
          </w:p>
        </w:tc>
        <w:tc>
          <w:tcPr>
            <w:tcW w:w="831" w:type="dxa"/>
            <w:vAlign w:val="center"/>
          </w:tcPr>
          <w:p>
            <w:pPr>
              <w:jc w:val="center"/>
              <w:rPr>
                <w:rFonts w:ascii="仿宋_GB2312" w:eastAsia="仿宋_GB2312"/>
                <w:sz w:val="21"/>
                <w:szCs w:val="21"/>
              </w:rPr>
            </w:pPr>
            <w:r>
              <w:rPr>
                <w:rFonts w:hint="eastAsia" w:ascii="仿宋_GB2312" w:eastAsia="仿宋_GB2312"/>
                <w:sz w:val="21"/>
                <w:szCs w:val="21"/>
              </w:rPr>
              <w:t>拟申报资格</w:t>
            </w:r>
          </w:p>
        </w:tc>
        <w:tc>
          <w:tcPr>
            <w:tcW w:w="1167" w:type="dxa"/>
            <w:vAlign w:val="center"/>
          </w:tcPr>
          <w:p>
            <w:pPr>
              <w:jc w:val="center"/>
              <w:rPr>
                <w:rFonts w:ascii="仿宋_GB2312" w:eastAsia="仿宋_GB2312"/>
                <w:sz w:val="21"/>
                <w:szCs w:val="21"/>
              </w:rPr>
            </w:pPr>
            <w:r>
              <w:rPr>
                <w:rFonts w:hint="eastAsia" w:ascii="仿宋_GB2312" w:eastAsia="仿宋_GB2312"/>
                <w:sz w:val="21"/>
                <w:szCs w:val="21"/>
              </w:rPr>
              <w:t>申报类型</w:t>
            </w:r>
          </w:p>
        </w:tc>
        <w:tc>
          <w:tcPr>
            <w:tcW w:w="1167" w:type="dxa"/>
            <w:vAlign w:val="center"/>
          </w:tcPr>
          <w:p>
            <w:pPr>
              <w:jc w:val="center"/>
              <w:rPr>
                <w:rFonts w:ascii="仿宋_GB2312" w:eastAsia="仿宋_GB2312"/>
                <w:sz w:val="21"/>
                <w:szCs w:val="21"/>
              </w:rPr>
            </w:pPr>
            <w:r>
              <w:rPr>
                <w:rFonts w:hint="eastAsia" w:ascii="仿宋_GB2312" w:eastAsia="仿宋_GB2312"/>
                <w:sz w:val="21"/>
                <w:szCs w:val="21"/>
              </w:rPr>
              <w:t>申报学科</w:t>
            </w:r>
          </w:p>
        </w:tc>
        <w:tc>
          <w:tcPr>
            <w:tcW w:w="1298" w:type="dxa"/>
            <w:vAlign w:val="center"/>
          </w:tcPr>
          <w:p>
            <w:pPr>
              <w:jc w:val="center"/>
              <w:rPr>
                <w:rFonts w:ascii="仿宋_GB2312" w:eastAsia="仿宋_GB2312"/>
                <w:sz w:val="21"/>
                <w:szCs w:val="21"/>
              </w:rPr>
            </w:pPr>
            <w:r>
              <w:rPr>
                <w:rFonts w:hint="eastAsia" w:ascii="仿宋_GB2312" w:eastAsia="仿宋_GB2312"/>
                <w:sz w:val="21"/>
                <w:szCs w:val="21"/>
              </w:rPr>
              <w:t>代表作是否送审</w:t>
            </w:r>
          </w:p>
        </w:tc>
        <w:tc>
          <w:tcPr>
            <w:tcW w:w="1299" w:type="dxa"/>
            <w:vAlign w:val="center"/>
          </w:tcPr>
          <w:p>
            <w:pPr>
              <w:jc w:val="center"/>
              <w:rPr>
                <w:rFonts w:ascii="仿宋_GB2312" w:eastAsia="仿宋_GB2312"/>
                <w:sz w:val="21"/>
                <w:szCs w:val="21"/>
              </w:rPr>
            </w:pPr>
            <w:r>
              <w:rPr>
                <w:rFonts w:hint="eastAsia" w:ascii="仿宋_GB2312" w:eastAsia="仿宋_GB2312"/>
                <w:sz w:val="21"/>
                <w:szCs w:val="21"/>
              </w:rPr>
              <w:t>职称评审系统是否有账号</w:t>
            </w:r>
          </w:p>
        </w:tc>
        <w:tc>
          <w:tcPr>
            <w:tcW w:w="1299" w:type="dxa"/>
            <w:vAlign w:val="center"/>
          </w:tcPr>
          <w:p>
            <w:pPr>
              <w:jc w:val="center"/>
              <w:rPr>
                <w:rFonts w:ascii="仿宋_GB2312" w:eastAsia="仿宋_GB2312"/>
                <w:sz w:val="21"/>
                <w:szCs w:val="21"/>
              </w:rPr>
            </w:pPr>
            <w:r>
              <w:rPr>
                <w:rFonts w:hint="eastAsia" w:ascii="仿宋_GB2312" w:eastAsia="仿宋_GB2312"/>
                <w:sz w:val="21"/>
                <w:szCs w:val="21"/>
              </w:rPr>
              <w:t>联系电话</w:t>
            </w:r>
          </w:p>
          <w:p>
            <w:pPr>
              <w:jc w:val="center"/>
              <w:rPr>
                <w:rFonts w:ascii="仿宋_GB2312" w:eastAsia="仿宋_GB2312"/>
                <w:sz w:val="21"/>
                <w:szCs w:val="21"/>
              </w:rPr>
            </w:pPr>
            <w:r>
              <w:rPr>
                <w:rFonts w:hint="eastAsia" w:ascii="仿宋_GB2312" w:eastAsia="仿宋_GB2312"/>
                <w:sz w:val="21"/>
                <w:szCs w:val="21"/>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 w:type="dxa"/>
            <w:vAlign w:val="center"/>
          </w:tcPr>
          <w:p>
            <w:pPr>
              <w:jc w:val="center"/>
              <w:rPr>
                <w:rFonts w:ascii="仿宋_GB2312" w:eastAsia="仿宋_GB2312"/>
                <w:sz w:val="21"/>
                <w:szCs w:val="21"/>
              </w:rPr>
            </w:pPr>
            <w:r>
              <w:rPr>
                <w:rFonts w:hint="eastAsia" w:ascii="仿宋_GB2312" w:eastAsia="仿宋_GB2312"/>
                <w:sz w:val="21"/>
                <w:szCs w:val="21"/>
              </w:rPr>
              <w:t>1</w:t>
            </w:r>
          </w:p>
        </w:tc>
        <w:tc>
          <w:tcPr>
            <w:tcW w:w="721" w:type="dxa"/>
            <w:vAlign w:val="center"/>
          </w:tcPr>
          <w:p>
            <w:pPr>
              <w:jc w:val="center"/>
              <w:rPr>
                <w:rFonts w:ascii="仿宋_GB2312" w:eastAsia="仿宋_GB2312"/>
                <w:sz w:val="21"/>
                <w:szCs w:val="21"/>
              </w:rPr>
            </w:pPr>
            <w:r>
              <w:rPr>
                <w:rFonts w:hint="eastAsia" w:ascii="仿宋_GB2312" w:eastAsia="仿宋_GB2312"/>
                <w:sz w:val="21"/>
                <w:szCs w:val="21"/>
              </w:rPr>
              <w:t>000000</w:t>
            </w:r>
          </w:p>
        </w:tc>
        <w:tc>
          <w:tcPr>
            <w:tcW w:w="682" w:type="dxa"/>
            <w:vAlign w:val="center"/>
          </w:tcPr>
          <w:p>
            <w:pPr>
              <w:jc w:val="center"/>
              <w:rPr>
                <w:rFonts w:ascii="仿宋_GB2312" w:eastAsia="仿宋_GB2312"/>
                <w:sz w:val="21"/>
                <w:szCs w:val="21"/>
              </w:rPr>
            </w:pPr>
            <w:r>
              <w:rPr>
                <w:rFonts w:hint="eastAsia" w:ascii="仿宋_GB2312" w:eastAsia="仿宋_GB2312"/>
                <w:sz w:val="21"/>
                <w:szCs w:val="21"/>
              </w:rPr>
              <w:t>张三</w:t>
            </w:r>
          </w:p>
        </w:tc>
        <w:tc>
          <w:tcPr>
            <w:tcW w:w="798" w:type="dxa"/>
            <w:vAlign w:val="center"/>
          </w:tcPr>
          <w:p>
            <w:pPr>
              <w:jc w:val="center"/>
              <w:rPr>
                <w:rFonts w:ascii="仿宋_GB2312" w:eastAsia="仿宋_GB2312"/>
                <w:sz w:val="21"/>
                <w:szCs w:val="21"/>
              </w:rPr>
            </w:pPr>
            <w:r>
              <w:rPr>
                <w:rFonts w:hint="eastAsia" w:ascii="仿宋_GB2312" w:eastAsia="仿宋_GB2312"/>
                <w:sz w:val="21"/>
                <w:szCs w:val="21"/>
              </w:rPr>
              <w:t>副教授</w:t>
            </w:r>
          </w:p>
        </w:tc>
        <w:tc>
          <w:tcPr>
            <w:tcW w:w="689" w:type="dxa"/>
            <w:vAlign w:val="center"/>
          </w:tcPr>
          <w:p>
            <w:pPr>
              <w:jc w:val="center"/>
              <w:rPr>
                <w:rFonts w:ascii="仿宋_GB2312" w:eastAsia="仿宋_GB2312"/>
                <w:sz w:val="21"/>
                <w:szCs w:val="21"/>
              </w:rPr>
            </w:pPr>
            <w:r>
              <w:rPr>
                <w:rFonts w:hint="eastAsia" w:ascii="仿宋_GB2312" w:eastAsia="仿宋_GB2312"/>
                <w:sz w:val="21"/>
                <w:szCs w:val="21"/>
              </w:rPr>
              <w:t>2000.11</w:t>
            </w:r>
          </w:p>
        </w:tc>
        <w:tc>
          <w:tcPr>
            <w:tcW w:w="831" w:type="dxa"/>
            <w:vAlign w:val="center"/>
          </w:tcPr>
          <w:p>
            <w:pPr>
              <w:jc w:val="center"/>
              <w:rPr>
                <w:rFonts w:ascii="仿宋_GB2312" w:eastAsia="仿宋_GB2312"/>
                <w:sz w:val="21"/>
                <w:szCs w:val="21"/>
              </w:rPr>
            </w:pPr>
            <w:r>
              <w:rPr>
                <w:rFonts w:hint="eastAsia" w:ascii="仿宋_GB2312" w:eastAsia="仿宋_GB2312"/>
                <w:sz w:val="21"/>
                <w:szCs w:val="21"/>
              </w:rPr>
              <w:t>教授（破格）</w:t>
            </w:r>
          </w:p>
        </w:tc>
        <w:tc>
          <w:tcPr>
            <w:tcW w:w="1167" w:type="dxa"/>
            <w:vAlign w:val="center"/>
          </w:tcPr>
          <w:p>
            <w:pPr>
              <w:jc w:val="center"/>
              <w:rPr>
                <w:rFonts w:ascii="仿宋_GB2312" w:eastAsia="仿宋_GB2312"/>
                <w:sz w:val="21"/>
                <w:szCs w:val="21"/>
              </w:rPr>
            </w:pPr>
            <w:r>
              <w:rPr>
                <w:rFonts w:hint="eastAsia" w:ascii="仿宋_GB2312" w:eastAsia="仿宋_GB2312"/>
                <w:sz w:val="21"/>
                <w:szCs w:val="21"/>
              </w:rPr>
              <w:t>教学科研并重型</w:t>
            </w:r>
          </w:p>
          <w:p>
            <w:pPr>
              <w:jc w:val="center"/>
              <w:rPr>
                <w:rFonts w:ascii="仿宋_GB2312" w:eastAsia="仿宋_GB2312"/>
                <w:sz w:val="21"/>
                <w:szCs w:val="21"/>
              </w:rPr>
            </w:pPr>
            <w:r>
              <w:rPr>
                <w:rFonts w:hint="eastAsia" w:ascii="仿宋_GB2312" w:eastAsia="仿宋_GB2312"/>
                <w:sz w:val="21"/>
                <w:szCs w:val="21"/>
              </w:rPr>
              <w:t>辅导员</w:t>
            </w:r>
          </w:p>
        </w:tc>
        <w:tc>
          <w:tcPr>
            <w:tcW w:w="1167" w:type="dxa"/>
            <w:vAlign w:val="center"/>
          </w:tcPr>
          <w:p>
            <w:pPr>
              <w:jc w:val="center"/>
              <w:rPr>
                <w:rFonts w:ascii="仿宋_GB2312" w:eastAsia="仿宋_GB2312"/>
                <w:sz w:val="21"/>
                <w:szCs w:val="21"/>
              </w:rPr>
            </w:pPr>
          </w:p>
        </w:tc>
        <w:tc>
          <w:tcPr>
            <w:tcW w:w="1298"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r>
              <w:rPr>
                <w:rFonts w:hint="eastAsia" w:ascii="仿宋_GB2312" w:eastAsia="仿宋_GB2312"/>
                <w:sz w:val="21"/>
                <w:szCs w:val="21"/>
              </w:rPr>
              <w:t>153XXXX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 w:type="dxa"/>
            <w:vAlign w:val="center"/>
          </w:tcPr>
          <w:p>
            <w:pPr>
              <w:jc w:val="center"/>
              <w:rPr>
                <w:rFonts w:ascii="仿宋_GB2312" w:eastAsia="仿宋_GB2312"/>
                <w:sz w:val="21"/>
                <w:szCs w:val="21"/>
              </w:rPr>
            </w:pPr>
          </w:p>
        </w:tc>
        <w:tc>
          <w:tcPr>
            <w:tcW w:w="721" w:type="dxa"/>
            <w:vAlign w:val="center"/>
          </w:tcPr>
          <w:p>
            <w:pPr>
              <w:jc w:val="center"/>
              <w:rPr>
                <w:rFonts w:ascii="仿宋_GB2312" w:eastAsia="仿宋_GB2312"/>
                <w:sz w:val="21"/>
                <w:szCs w:val="21"/>
              </w:rPr>
            </w:pPr>
          </w:p>
        </w:tc>
        <w:tc>
          <w:tcPr>
            <w:tcW w:w="682" w:type="dxa"/>
            <w:vAlign w:val="center"/>
          </w:tcPr>
          <w:p>
            <w:pPr>
              <w:jc w:val="center"/>
              <w:rPr>
                <w:rFonts w:ascii="仿宋_GB2312" w:eastAsia="仿宋_GB2312"/>
                <w:sz w:val="21"/>
                <w:szCs w:val="21"/>
              </w:rPr>
            </w:pPr>
          </w:p>
        </w:tc>
        <w:tc>
          <w:tcPr>
            <w:tcW w:w="798" w:type="dxa"/>
            <w:vAlign w:val="center"/>
          </w:tcPr>
          <w:p>
            <w:pPr>
              <w:jc w:val="center"/>
              <w:rPr>
                <w:rFonts w:ascii="仿宋_GB2312" w:eastAsia="仿宋_GB2312"/>
                <w:sz w:val="21"/>
                <w:szCs w:val="21"/>
              </w:rPr>
            </w:pPr>
          </w:p>
        </w:tc>
        <w:tc>
          <w:tcPr>
            <w:tcW w:w="689" w:type="dxa"/>
            <w:vAlign w:val="center"/>
          </w:tcPr>
          <w:p>
            <w:pPr>
              <w:jc w:val="center"/>
              <w:rPr>
                <w:rFonts w:ascii="仿宋_GB2312" w:eastAsia="仿宋_GB2312"/>
                <w:sz w:val="21"/>
                <w:szCs w:val="21"/>
              </w:rPr>
            </w:pPr>
          </w:p>
        </w:tc>
        <w:tc>
          <w:tcPr>
            <w:tcW w:w="831"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298"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 w:type="dxa"/>
            <w:vAlign w:val="center"/>
          </w:tcPr>
          <w:p>
            <w:pPr>
              <w:jc w:val="center"/>
              <w:rPr>
                <w:rFonts w:ascii="仿宋_GB2312" w:eastAsia="仿宋_GB2312"/>
                <w:sz w:val="21"/>
                <w:szCs w:val="21"/>
              </w:rPr>
            </w:pPr>
          </w:p>
        </w:tc>
        <w:tc>
          <w:tcPr>
            <w:tcW w:w="721" w:type="dxa"/>
            <w:vAlign w:val="center"/>
          </w:tcPr>
          <w:p>
            <w:pPr>
              <w:jc w:val="center"/>
              <w:rPr>
                <w:rFonts w:ascii="仿宋_GB2312" w:eastAsia="仿宋_GB2312"/>
                <w:sz w:val="21"/>
                <w:szCs w:val="21"/>
              </w:rPr>
            </w:pPr>
          </w:p>
        </w:tc>
        <w:tc>
          <w:tcPr>
            <w:tcW w:w="682" w:type="dxa"/>
            <w:vAlign w:val="center"/>
          </w:tcPr>
          <w:p>
            <w:pPr>
              <w:jc w:val="center"/>
              <w:rPr>
                <w:rFonts w:ascii="仿宋_GB2312" w:eastAsia="仿宋_GB2312"/>
                <w:sz w:val="21"/>
                <w:szCs w:val="21"/>
              </w:rPr>
            </w:pPr>
          </w:p>
        </w:tc>
        <w:tc>
          <w:tcPr>
            <w:tcW w:w="798" w:type="dxa"/>
            <w:vAlign w:val="center"/>
          </w:tcPr>
          <w:p>
            <w:pPr>
              <w:jc w:val="center"/>
              <w:rPr>
                <w:rFonts w:ascii="仿宋_GB2312" w:eastAsia="仿宋_GB2312"/>
                <w:sz w:val="21"/>
                <w:szCs w:val="21"/>
              </w:rPr>
            </w:pPr>
          </w:p>
        </w:tc>
        <w:tc>
          <w:tcPr>
            <w:tcW w:w="689" w:type="dxa"/>
            <w:vAlign w:val="center"/>
          </w:tcPr>
          <w:p>
            <w:pPr>
              <w:jc w:val="center"/>
              <w:rPr>
                <w:rFonts w:ascii="仿宋_GB2312" w:eastAsia="仿宋_GB2312"/>
                <w:sz w:val="21"/>
                <w:szCs w:val="21"/>
              </w:rPr>
            </w:pPr>
          </w:p>
        </w:tc>
        <w:tc>
          <w:tcPr>
            <w:tcW w:w="831"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298"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 w:type="dxa"/>
            <w:vAlign w:val="center"/>
          </w:tcPr>
          <w:p>
            <w:pPr>
              <w:jc w:val="center"/>
              <w:rPr>
                <w:rFonts w:ascii="仿宋_GB2312" w:eastAsia="仿宋_GB2312"/>
                <w:sz w:val="21"/>
                <w:szCs w:val="21"/>
              </w:rPr>
            </w:pPr>
          </w:p>
        </w:tc>
        <w:tc>
          <w:tcPr>
            <w:tcW w:w="721" w:type="dxa"/>
            <w:vAlign w:val="center"/>
          </w:tcPr>
          <w:p>
            <w:pPr>
              <w:jc w:val="center"/>
              <w:rPr>
                <w:rFonts w:ascii="仿宋_GB2312" w:eastAsia="仿宋_GB2312"/>
                <w:sz w:val="21"/>
                <w:szCs w:val="21"/>
              </w:rPr>
            </w:pPr>
          </w:p>
        </w:tc>
        <w:tc>
          <w:tcPr>
            <w:tcW w:w="682" w:type="dxa"/>
            <w:vAlign w:val="center"/>
          </w:tcPr>
          <w:p>
            <w:pPr>
              <w:jc w:val="center"/>
              <w:rPr>
                <w:rFonts w:ascii="仿宋_GB2312" w:eastAsia="仿宋_GB2312"/>
                <w:sz w:val="21"/>
                <w:szCs w:val="21"/>
              </w:rPr>
            </w:pPr>
          </w:p>
        </w:tc>
        <w:tc>
          <w:tcPr>
            <w:tcW w:w="798" w:type="dxa"/>
            <w:vAlign w:val="center"/>
          </w:tcPr>
          <w:p>
            <w:pPr>
              <w:jc w:val="center"/>
              <w:rPr>
                <w:rFonts w:ascii="仿宋_GB2312" w:eastAsia="仿宋_GB2312"/>
                <w:sz w:val="21"/>
                <w:szCs w:val="21"/>
              </w:rPr>
            </w:pPr>
          </w:p>
        </w:tc>
        <w:tc>
          <w:tcPr>
            <w:tcW w:w="689" w:type="dxa"/>
            <w:vAlign w:val="center"/>
          </w:tcPr>
          <w:p>
            <w:pPr>
              <w:jc w:val="center"/>
              <w:rPr>
                <w:rFonts w:ascii="仿宋_GB2312" w:eastAsia="仿宋_GB2312"/>
                <w:sz w:val="21"/>
                <w:szCs w:val="21"/>
              </w:rPr>
            </w:pPr>
          </w:p>
        </w:tc>
        <w:tc>
          <w:tcPr>
            <w:tcW w:w="831"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298"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 w:type="dxa"/>
            <w:vAlign w:val="center"/>
          </w:tcPr>
          <w:p>
            <w:pPr>
              <w:jc w:val="center"/>
              <w:rPr>
                <w:rFonts w:ascii="仿宋_GB2312" w:eastAsia="仿宋_GB2312"/>
                <w:sz w:val="21"/>
                <w:szCs w:val="21"/>
              </w:rPr>
            </w:pPr>
          </w:p>
        </w:tc>
        <w:tc>
          <w:tcPr>
            <w:tcW w:w="721" w:type="dxa"/>
            <w:vAlign w:val="center"/>
          </w:tcPr>
          <w:p>
            <w:pPr>
              <w:jc w:val="center"/>
              <w:rPr>
                <w:rFonts w:ascii="仿宋_GB2312" w:eastAsia="仿宋_GB2312"/>
                <w:sz w:val="21"/>
                <w:szCs w:val="21"/>
              </w:rPr>
            </w:pPr>
          </w:p>
        </w:tc>
        <w:tc>
          <w:tcPr>
            <w:tcW w:w="682" w:type="dxa"/>
            <w:vAlign w:val="center"/>
          </w:tcPr>
          <w:p>
            <w:pPr>
              <w:jc w:val="center"/>
              <w:rPr>
                <w:rFonts w:ascii="仿宋_GB2312" w:eastAsia="仿宋_GB2312"/>
                <w:sz w:val="21"/>
                <w:szCs w:val="21"/>
              </w:rPr>
            </w:pPr>
          </w:p>
        </w:tc>
        <w:tc>
          <w:tcPr>
            <w:tcW w:w="798" w:type="dxa"/>
            <w:vAlign w:val="center"/>
          </w:tcPr>
          <w:p>
            <w:pPr>
              <w:jc w:val="center"/>
              <w:rPr>
                <w:rFonts w:ascii="仿宋_GB2312" w:eastAsia="仿宋_GB2312"/>
                <w:sz w:val="21"/>
                <w:szCs w:val="21"/>
              </w:rPr>
            </w:pPr>
          </w:p>
        </w:tc>
        <w:tc>
          <w:tcPr>
            <w:tcW w:w="689" w:type="dxa"/>
            <w:vAlign w:val="center"/>
          </w:tcPr>
          <w:p>
            <w:pPr>
              <w:jc w:val="center"/>
              <w:rPr>
                <w:rFonts w:ascii="仿宋_GB2312" w:eastAsia="仿宋_GB2312"/>
                <w:sz w:val="21"/>
                <w:szCs w:val="21"/>
              </w:rPr>
            </w:pPr>
          </w:p>
        </w:tc>
        <w:tc>
          <w:tcPr>
            <w:tcW w:w="831"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298"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 w:type="dxa"/>
            <w:vAlign w:val="center"/>
          </w:tcPr>
          <w:p>
            <w:pPr>
              <w:jc w:val="center"/>
              <w:rPr>
                <w:rFonts w:ascii="仿宋_GB2312" w:eastAsia="仿宋_GB2312"/>
                <w:sz w:val="21"/>
                <w:szCs w:val="21"/>
              </w:rPr>
            </w:pPr>
          </w:p>
        </w:tc>
        <w:tc>
          <w:tcPr>
            <w:tcW w:w="721" w:type="dxa"/>
            <w:vAlign w:val="center"/>
          </w:tcPr>
          <w:p>
            <w:pPr>
              <w:jc w:val="center"/>
              <w:rPr>
                <w:rFonts w:ascii="仿宋_GB2312" w:eastAsia="仿宋_GB2312"/>
                <w:sz w:val="21"/>
                <w:szCs w:val="21"/>
              </w:rPr>
            </w:pPr>
          </w:p>
        </w:tc>
        <w:tc>
          <w:tcPr>
            <w:tcW w:w="682" w:type="dxa"/>
            <w:vAlign w:val="center"/>
          </w:tcPr>
          <w:p>
            <w:pPr>
              <w:jc w:val="center"/>
              <w:rPr>
                <w:rFonts w:ascii="仿宋_GB2312" w:eastAsia="仿宋_GB2312"/>
                <w:sz w:val="21"/>
                <w:szCs w:val="21"/>
              </w:rPr>
            </w:pPr>
          </w:p>
        </w:tc>
        <w:tc>
          <w:tcPr>
            <w:tcW w:w="798" w:type="dxa"/>
            <w:vAlign w:val="center"/>
          </w:tcPr>
          <w:p>
            <w:pPr>
              <w:jc w:val="center"/>
              <w:rPr>
                <w:rFonts w:ascii="仿宋_GB2312" w:eastAsia="仿宋_GB2312"/>
                <w:sz w:val="21"/>
                <w:szCs w:val="21"/>
              </w:rPr>
            </w:pPr>
          </w:p>
        </w:tc>
        <w:tc>
          <w:tcPr>
            <w:tcW w:w="689" w:type="dxa"/>
            <w:vAlign w:val="center"/>
          </w:tcPr>
          <w:p>
            <w:pPr>
              <w:jc w:val="center"/>
              <w:rPr>
                <w:rFonts w:ascii="仿宋_GB2312" w:eastAsia="仿宋_GB2312"/>
                <w:sz w:val="21"/>
                <w:szCs w:val="21"/>
              </w:rPr>
            </w:pPr>
          </w:p>
        </w:tc>
        <w:tc>
          <w:tcPr>
            <w:tcW w:w="831"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298"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 w:type="dxa"/>
            <w:vAlign w:val="center"/>
          </w:tcPr>
          <w:p>
            <w:pPr>
              <w:jc w:val="center"/>
              <w:rPr>
                <w:rFonts w:ascii="仿宋_GB2312" w:eastAsia="仿宋_GB2312"/>
                <w:sz w:val="21"/>
                <w:szCs w:val="21"/>
              </w:rPr>
            </w:pPr>
          </w:p>
        </w:tc>
        <w:tc>
          <w:tcPr>
            <w:tcW w:w="721" w:type="dxa"/>
            <w:vAlign w:val="center"/>
          </w:tcPr>
          <w:p>
            <w:pPr>
              <w:jc w:val="center"/>
              <w:rPr>
                <w:rFonts w:ascii="仿宋_GB2312" w:eastAsia="仿宋_GB2312"/>
                <w:sz w:val="21"/>
                <w:szCs w:val="21"/>
              </w:rPr>
            </w:pPr>
          </w:p>
        </w:tc>
        <w:tc>
          <w:tcPr>
            <w:tcW w:w="682" w:type="dxa"/>
            <w:vAlign w:val="center"/>
          </w:tcPr>
          <w:p>
            <w:pPr>
              <w:jc w:val="center"/>
              <w:rPr>
                <w:rFonts w:ascii="仿宋_GB2312" w:eastAsia="仿宋_GB2312"/>
                <w:sz w:val="21"/>
                <w:szCs w:val="21"/>
              </w:rPr>
            </w:pPr>
          </w:p>
        </w:tc>
        <w:tc>
          <w:tcPr>
            <w:tcW w:w="798" w:type="dxa"/>
            <w:vAlign w:val="center"/>
          </w:tcPr>
          <w:p>
            <w:pPr>
              <w:jc w:val="center"/>
              <w:rPr>
                <w:rFonts w:ascii="仿宋_GB2312" w:eastAsia="仿宋_GB2312"/>
                <w:sz w:val="21"/>
                <w:szCs w:val="21"/>
              </w:rPr>
            </w:pPr>
          </w:p>
        </w:tc>
        <w:tc>
          <w:tcPr>
            <w:tcW w:w="689" w:type="dxa"/>
            <w:vAlign w:val="center"/>
          </w:tcPr>
          <w:p>
            <w:pPr>
              <w:jc w:val="center"/>
              <w:rPr>
                <w:rFonts w:ascii="仿宋_GB2312" w:eastAsia="仿宋_GB2312"/>
                <w:sz w:val="21"/>
                <w:szCs w:val="21"/>
              </w:rPr>
            </w:pPr>
          </w:p>
        </w:tc>
        <w:tc>
          <w:tcPr>
            <w:tcW w:w="831"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298"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 w:type="dxa"/>
            <w:vAlign w:val="center"/>
          </w:tcPr>
          <w:p>
            <w:pPr>
              <w:jc w:val="center"/>
              <w:rPr>
                <w:rFonts w:ascii="仿宋_GB2312" w:eastAsia="仿宋_GB2312"/>
                <w:sz w:val="21"/>
                <w:szCs w:val="21"/>
              </w:rPr>
            </w:pPr>
          </w:p>
        </w:tc>
        <w:tc>
          <w:tcPr>
            <w:tcW w:w="721" w:type="dxa"/>
            <w:vAlign w:val="center"/>
          </w:tcPr>
          <w:p>
            <w:pPr>
              <w:jc w:val="center"/>
              <w:rPr>
                <w:rFonts w:ascii="仿宋_GB2312" w:eastAsia="仿宋_GB2312"/>
                <w:sz w:val="21"/>
                <w:szCs w:val="21"/>
              </w:rPr>
            </w:pPr>
          </w:p>
        </w:tc>
        <w:tc>
          <w:tcPr>
            <w:tcW w:w="682" w:type="dxa"/>
            <w:vAlign w:val="center"/>
          </w:tcPr>
          <w:p>
            <w:pPr>
              <w:jc w:val="center"/>
              <w:rPr>
                <w:rFonts w:ascii="仿宋_GB2312" w:eastAsia="仿宋_GB2312"/>
                <w:sz w:val="21"/>
                <w:szCs w:val="21"/>
              </w:rPr>
            </w:pPr>
          </w:p>
        </w:tc>
        <w:tc>
          <w:tcPr>
            <w:tcW w:w="798" w:type="dxa"/>
            <w:vAlign w:val="center"/>
          </w:tcPr>
          <w:p>
            <w:pPr>
              <w:jc w:val="center"/>
              <w:rPr>
                <w:rFonts w:ascii="仿宋_GB2312" w:eastAsia="仿宋_GB2312"/>
                <w:sz w:val="21"/>
                <w:szCs w:val="21"/>
              </w:rPr>
            </w:pPr>
          </w:p>
        </w:tc>
        <w:tc>
          <w:tcPr>
            <w:tcW w:w="689" w:type="dxa"/>
            <w:vAlign w:val="center"/>
          </w:tcPr>
          <w:p>
            <w:pPr>
              <w:jc w:val="center"/>
              <w:rPr>
                <w:rFonts w:ascii="仿宋_GB2312" w:eastAsia="仿宋_GB2312"/>
                <w:sz w:val="21"/>
                <w:szCs w:val="21"/>
              </w:rPr>
            </w:pPr>
          </w:p>
        </w:tc>
        <w:tc>
          <w:tcPr>
            <w:tcW w:w="831"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298"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 w:type="dxa"/>
            <w:vAlign w:val="center"/>
          </w:tcPr>
          <w:p>
            <w:pPr>
              <w:jc w:val="center"/>
              <w:rPr>
                <w:rFonts w:ascii="仿宋_GB2312" w:eastAsia="仿宋_GB2312"/>
                <w:sz w:val="21"/>
                <w:szCs w:val="21"/>
              </w:rPr>
            </w:pPr>
          </w:p>
        </w:tc>
        <w:tc>
          <w:tcPr>
            <w:tcW w:w="721" w:type="dxa"/>
            <w:vAlign w:val="center"/>
          </w:tcPr>
          <w:p>
            <w:pPr>
              <w:jc w:val="center"/>
              <w:rPr>
                <w:rFonts w:ascii="仿宋_GB2312" w:eastAsia="仿宋_GB2312"/>
                <w:sz w:val="21"/>
                <w:szCs w:val="21"/>
              </w:rPr>
            </w:pPr>
          </w:p>
        </w:tc>
        <w:tc>
          <w:tcPr>
            <w:tcW w:w="682" w:type="dxa"/>
            <w:vAlign w:val="center"/>
          </w:tcPr>
          <w:p>
            <w:pPr>
              <w:jc w:val="center"/>
              <w:rPr>
                <w:rFonts w:ascii="仿宋_GB2312" w:eastAsia="仿宋_GB2312"/>
                <w:sz w:val="21"/>
                <w:szCs w:val="21"/>
              </w:rPr>
            </w:pPr>
          </w:p>
        </w:tc>
        <w:tc>
          <w:tcPr>
            <w:tcW w:w="798" w:type="dxa"/>
            <w:vAlign w:val="center"/>
          </w:tcPr>
          <w:p>
            <w:pPr>
              <w:jc w:val="center"/>
              <w:rPr>
                <w:rFonts w:ascii="仿宋_GB2312" w:eastAsia="仿宋_GB2312"/>
                <w:sz w:val="21"/>
                <w:szCs w:val="21"/>
              </w:rPr>
            </w:pPr>
          </w:p>
        </w:tc>
        <w:tc>
          <w:tcPr>
            <w:tcW w:w="689" w:type="dxa"/>
            <w:vAlign w:val="center"/>
          </w:tcPr>
          <w:p>
            <w:pPr>
              <w:jc w:val="center"/>
              <w:rPr>
                <w:rFonts w:ascii="仿宋_GB2312" w:eastAsia="仿宋_GB2312"/>
                <w:sz w:val="21"/>
                <w:szCs w:val="21"/>
              </w:rPr>
            </w:pPr>
          </w:p>
        </w:tc>
        <w:tc>
          <w:tcPr>
            <w:tcW w:w="831"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298"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 w:type="dxa"/>
            <w:vAlign w:val="center"/>
          </w:tcPr>
          <w:p>
            <w:pPr>
              <w:jc w:val="center"/>
              <w:rPr>
                <w:rFonts w:ascii="仿宋_GB2312" w:eastAsia="仿宋_GB2312"/>
                <w:sz w:val="21"/>
                <w:szCs w:val="21"/>
              </w:rPr>
            </w:pPr>
          </w:p>
        </w:tc>
        <w:tc>
          <w:tcPr>
            <w:tcW w:w="721" w:type="dxa"/>
            <w:vAlign w:val="center"/>
          </w:tcPr>
          <w:p>
            <w:pPr>
              <w:jc w:val="center"/>
              <w:rPr>
                <w:rFonts w:ascii="仿宋_GB2312" w:eastAsia="仿宋_GB2312"/>
                <w:sz w:val="21"/>
                <w:szCs w:val="21"/>
              </w:rPr>
            </w:pPr>
          </w:p>
        </w:tc>
        <w:tc>
          <w:tcPr>
            <w:tcW w:w="682" w:type="dxa"/>
            <w:vAlign w:val="center"/>
          </w:tcPr>
          <w:p>
            <w:pPr>
              <w:jc w:val="center"/>
              <w:rPr>
                <w:rFonts w:ascii="仿宋_GB2312" w:eastAsia="仿宋_GB2312"/>
                <w:sz w:val="21"/>
                <w:szCs w:val="21"/>
              </w:rPr>
            </w:pPr>
          </w:p>
        </w:tc>
        <w:tc>
          <w:tcPr>
            <w:tcW w:w="798" w:type="dxa"/>
            <w:vAlign w:val="center"/>
          </w:tcPr>
          <w:p>
            <w:pPr>
              <w:jc w:val="center"/>
              <w:rPr>
                <w:rFonts w:ascii="仿宋_GB2312" w:eastAsia="仿宋_GB2312"/>
                <w:sz w:val="21"/>
                <w:szCs w:val="21"/>
              </w:rPr>
            </w:pPr>
          </w:p>
        </w:tc>
        <w:tc>
          <w:tcPr>
            <w:tcW w:w="689" w:type="dxa"/>
            <w:vAlign w:val="center"/>
          </w:tcPr>
          <w:p>
            <w:pPr>
              <w:jc w:val="center"/>
              <w:rPr>
                <w:rFonts w:ascii="仿宋_GB2312" w:eastAsia="仿宋_GB2312"/>
                <w:sz w:val="21"/>
                <w:szCs w:val="21"/>
              </w:rPr>
            </w:pPr>
          </w:p>
        </w:tc>
        <w:tc>
          <w:tcPr>
            <w:tcW w:w="831"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298"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 w:type="dxa"/>
            <w:vAlign w:val="center"/>
          </w:tcPr>
          <w:p>
            <w:pPr>
              <w:jc w:val="center"/>
              <w:rPr>
                <w:rFonts w:ascii="仿宋_GB2312" w:eastAsia="仿宋_GB2312"/>
                <w:sz w:val="21"/>
                <w:szCs w:val="21"/>
              </w:rPr>
            </w:pPr>
          </w:p>
        </w:tc>
        <w:tc>
          <w:tcPr>
            <w:tcW w:w="721" w:type="dxa"/>
            <w:vAlign w:val="center"/>
          </w:tcPr>
          <w:p>
            <w:pPr>
              <w:jc w:val="center"/>
              <w:rPr>
                <w:rFonts w:ascii="仿宋_GB2312" w:eastAsia="仿宋_GB2312"/>
                <w:sz w:val="21"/>
                <w:szCs w:val="21"/>
              </w:rPr>
            </w:pPr>
          </w:p>
        </w:tc>
        <w:tc>
          <w:tcPr>
            <w:tcW w:w="682" w:type="dxa"/>
            <w:vAlign w:val="center"/>
          </w:tcPr>
          <w:p>
            <w:pPr>
              <w:jc w:val="center"/>
              <w:rPr>
                <w:rFonts w:ascii="仿宋_GB2312" w:eastAsia="仿宋_GB2312"/>
                <w:sz w:val="21"/>
                <w:szCs w:val="21"/>
              </w:rPr>
            </w:pPr>
          </w:p>
        </w:tc>
        <w:tc>
          <w:tcPr>
            <w:tcW w:w="798" w:type="dxa"/>
            <w:vAlign w:val="center"/>
          </w:tcPr>
          <w:p>
            <w:pPr>
              <w:jc w:val="center"/>
              <w:rPr>
                <w:rFonts w:ascii="仿宋_GB2312" w:eastAsia="仿宋_GB2312"/>
                <w:sz w:val="21"/>
                <w:szCs w:val="21"/>
              </w:rPr>
            </w:pPr>
          </w:p>
        </w:tc>
        <w:tc>
          <w:tcPr>
            <w:tcW w:w="689" w:type="dxa"/>
            <w:vAlign w:val="center"/>
          </w:tcPr>
          <w:p>
            <w:pPr>
              <w:jc w:val="center"/>
              <w:rPr>
                <w:rFonts w:ascii="仿宋_GB2312" w:eastAsia="仿宋_GB2312"/>
                <w:sz w:val="21"/>
                <w:szCs w:val="21"/>
              </w:rPr>
            </w:pPr>
          </w:p>
        </w:tc>
        <w:tc>
          <w:tcPr>
            <w:tcW w:w="831"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298"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 w:type="dxa"/>
            <w:vAlign w:val="center"/>
          </w:tcPr>
          <w:p>
            <w:pPr>
              <w:jc w:val="center"/>
              <w:rPr>
                <w:rFonts w:ascii="仿宋_GB2312" w:eastAsia="仿宋_GB2312"/>
                <w:sz w:val="21"/>
                <w:szCs w:val="21"/>
              </w:rPr>
            </w:pPr>
          </w:p>
        </w:tc>
        <w:tc>
          <w:tcPr>
            <w:tcW w:w="721" w:type="dxa"/>
            <w:vAlign w:val="center"/>
          </w:tcPr>
          <w:p>
            <w:pPr>
              <w:jc w:val="center"/>
              <w:rPr>
                <w:rFonts w:ascii="仿宋_GB2312" w:eastAsia="仿宋_GB2312"/>
                <w:sz w:val="21"/>
                <w:szCs w:val="21"/>
              </w:rPr>
            </w:pPr>
          </w:p>
        </w:tc>
        <w:tc>
          <w:tcPr>
            <w:tcW w:w="682" w:type="dxa"/>
            <w:vAlign w:val="center"/>
          </w:tcPr>
          <w:p>
            <w:pPr>
              <w:jc w:val="center"/>
              <w:rPr>
                <w:rFonts w:ascii="仿宋_GB2312" w:eastAsia="仿宋_GB2312"/>
                <w:sz w:val="21"/>
                <w:szCs w:val="21"/>
              </w:rPr>
            </w:pPr>
          </w:p>
        </w:tc>
        <w:tc>
          <w:tcPr>
            <w:tcW w:w="798" w:type="dxa"/>
            <w:vAlign w:val="center"/>
          </w:tcPr>
          <w:p>
            <w:pPr>
              <w:jc w:val="center"/>
              <w:rPr>
                <w:rFonts w:ascii="仿宋_GB2312" w:eastAsia="仿宋_GB2312"/>
                <w:sz w:val="21"/>
                <w:szCs w:val="21"/>
              </w:rPr>
            </w:pPr>
          </w:p>
        </w:tc>
        <w:tc>
          <w:tcPr>
            <w:tcW w:w="689" w:type="dxa"/>
            <w:vAlign w:val="center"/>
          </w:tcPr>
          <w:p>
            <w:pPr>
              <w:jc w:val="center"/>
              <w:rPr>
                <w:rFonts w:ascii="仿宋_GB2312" w:eastAsia="仿宋_GB2312"/>
                <w:sz w:val="21"/>
                <w:szCs w:val="21"/>
              </w:rPr>
            </w:pPr>
          </w:p>
        </w:tc>
        <w:tc>
          <w:tcPr>
            <w:tcW w:w="831"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167" w:type="dxa"/>
            <w:vAlign w:val="center"/>
          </w:tcPr>
          <w:p>
            <w:pPr>
              <w:jc w:val="center"/>
              <w:rPr>
                <w:rFonts w:ascii="仿宋_GB2312" w:eastAsia="仿宋_GB2312"/>
                <w:sz w:val="21"/>
                <w:szCs w:val="21"/>
              </w:rPr>
            </w:pPr>
          </w:p>
        </w:tc>
        <w:tc>
          <w:tcPr>
            <w:tcW w:w="1298"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c>
          <w:tcPr>
            <w:tcW w:w="1299" w:type="dxa"/>
            <w:vAlign w:val="center"/>
          </w:tcPr>
          <w:p>
            <w:pPr>
              <w:jc w:val="center"/>
              <w:rPr>
                <w:rFonts w:ascii="仿宋_GB2312" w:eastAsia="仿宋_GB2312"/>
                <w:sz w:val="21"/>
                <w:szCs w:val="21"/>
              </w:rPr>
            </w:pPr>
          </w:p>
        </w:tc>
      </w:tr>
    </w:tbl>
    <w:p>
      <w:pPr>
        <w:spacing w:afterLines="50" w:line="480" w:lineRule="auto"/>
        <w:rPr>
          <w:rFonts w:ascii="仿宋_GB2312" w:eastAsia="仿宋_GB2312"/>
          <w:sz w:val="28"/>
          <w:szCs w:val="28"/>
        </w:rPr>
      </w:pPr>
      <w:r>
        <w:rPr>
          <w:rFonts w:hint="eastAsia" w:ascii="仿宋_GB2312" w:eastAsia="仿宋_GB2312"/>
          <w:sz w:val="28"/>
          <w:szCs w:val="28"/>
        </w:rPr>
        <w:t>单位负责人：          办公电话：            移动电话：</w:t>
      </w:r>
    </w:p>
    <w:p>
      <w:pPr>
        <w:spacing w:afterLines="50" w:line="480" w:lineRule="auto"/>
        <w:ind w:firstLine="280" w:firstLineChars="100"/>
        <w:rPr>
          <w:rFonts w:ascii="仿宋_GB2312" w:eastAsia="仿宋_GB2312"/>
          <w:sz w:val="28"/>
          <w:szCs w:val="28"/>
        </w:rPr>
      </w:pPr>
      <w:r>
        <w:rPr>
          <w:rFonts w:hint="eastAsia" w:ascii="仿宋_GB2312" w:eastAsia="仿宋_GB2312"/>
          <w:sz w:val="28"/>
          <w:szCs w:val="28"/>
        </w:rPr>
        <w:t>联 络 员：          办公电话：            移动电话：</w:t>
      </w:r>
    </w:p>
    <w:p>
      <w:pPr>
        <w:pStyle w:val="2"/>
        <w:spacing w:line="300" w:lineRule="auto"/>
        <w:rPr>
          <w:rFonts w:ascii="黑体" w:hAnsi="宋体" w:eastAsia="黑体"/>
          <w:spacing w:val="-4"/>
          <w:sz w:val="32"/>
        </w:rPr>
      </w:pPr>
    </w:p>
    <w:p>
      <w:pPr>
        <w:pStyle w:val="2"/>
        <w:spacing w:line="300" w:lineRule="auto"/>
        <w:rPr>
          <w:rFonts w:ascii="黑体" w:hAnsi="宋体" w:eastAsia="黑体"/>
          <w:spacing w:val="-4"/>
          <w:sz w:val="32"/>
        </w:rPr>
      </w:pPr>
    </w:p>
    <w:p>
      <w:pPr>
        <w:pStyle w:val="2"/>
        <w:spacing w:line="300" w:lineRule="auto"/>
        <w:rPr>
          <w:rFonts w:ascii="黑体" w:hAnsi="宋体" w:eastAsia="黑体"/>
          <w:spacing w:val="-4"/>
          <w:sz w:val="32"/>
        </w:rPr>
      </w:pPr>
    </w:p>
    <w:p>
      <w:pPr>
        <w:pStyle w:val="2"/>
        <w:spacing w:line="300" w:lineRule="auto"/>
      </w:pPr>
      <w:r>
        <w:rPr>
          <w:rFonts w:hint="eastAsia" w:ascii="黑体" w:hAnsi="宋体" w:eastAsia="黑体"/>
          <w:spacing w:val="-4"/>
          <w:sz w:val="32"/>
        </w:rPr>
        <w:t>附件2：</w:t>
      </w:r>
    </w:p>
    <w:p>
      <w:pPr>
        <w:pStyle w:val="2"/>
        <w:spacing w:line="300" w:lineRule="auto"/>
        <w:jc w:val="center"/>
        <w:rPr>
          <w:rFonts w:ascii="Times New Roman" w:hAnsi="Times New Roman" w:cs="Times New Roman"/>
          <w:b/>
          <w:sz w:val="44"/>
          <w:szCs w:val="44"/>
        </w:rPr>
      </w:pPr>
      <w:r>
        <w:rPr>
          <w:rFonts w:ascii="Times New Roman" w:hAnsi="Times New Roman" w:cs="Times New Roman"/>
          <w:b/>
          <w:sz w:val="44"/>
          <w:szCs w:val="44"/>
        </w:rPr>
        <w:t>20</w:t>
      </w:r>
      <w:r>
        <w:rPr>
          <w:rFonts w:hint="eastAsia" w:ascii="Times New Roman" w:hAnsi="Times New Roman" w:cs="Times New Roman"/>
          <w:b/>
          <w:sz w:val="44"/>
          <w:szCs w:val="44"/>
        </w:rPr>
        <w:t>23</w:t>
      </w:r>
      <w:r>
        <w:rPr>
          <w:rFonts w:ascii="Times New Roman" w:hAnsi="宋体" w:cs="Times New Roman"/>
          <w:b/>
          <w:sz w:val="44"/>
          <w:szCs w:val="44"/>
        </w:rPr>
        <w:t>年教师系列</w:t>
      </w:r>
    </w:p>
    <w:p>
      <w:pPr>
        <w:pStyle w:val="2"/>
        <w:spacing w:afterLines="100" w:line="300" w:lineRule="auto"/>
        <w:jc w:val="center"/>
        <w:rPr>
          <w:rFonts w:ascii="Times New Roman" w:hAnsi="Times New Roman" w:cs="Times New Roman"/>
          <w:b/>
          <w:sz w:val="44"/>
          <w:szCs w:val="44"/>
        </w:rPr>
      </w:pPr>
      <w:r>
        <w:rPr>
          <w:rFonts w:ascii="Times New Roman" w:hAnsi="宋体" w:cs="Times New Roman"/>
          <w:b/>
          <w:sz w:val="44"/>
          <w:szCs w:val="44"/>
        </w:rPr>
        <w:t>高、中、初级职称评审工作安排</w:t>
      </w:r>
    </w:p>
    <w:p>
      <w:pPr>
        <w:pStyle w:val="2"/>
        <w:spacing w:line="48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一、评审范围及任职条件</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1．截止2023年12月31日，凡是达到</w:t>
      </w:r>
      <w:r>
        <w:rPr>
          <w:rFonts w:hint="eastAsia" w:ascii="仿宋_GB2312" w:hAnsi="宋体" w:eastAsia="仿宋_GB2312"/>
          <w:spacing w:val="-4"/>
          <w:sz w:val="32"/>
        </w:rPr>
        <w:t>《西安科技大学教师职务评审工作实施办法（试行）》（西科发〔2018〕33号）（以下简称《实施办法》），《西安科技大学破格评审教授、副教授职务评审工作实施办法（试行）》（西科发〔2020〕34号）</w:t>
      </w:r>
      <w:r>
        <w:rPr>
          <w:rFonts w:hint="eastAsia" w:ascii="仿宋_GB2312" w:hAnsi="宋体" w:eastAsia="仿宋_GB2312"/>
          <w:spacing w:val="-4"/>
          <w:sz w:val="32"/>
          <w:lang w:val="en-US" w:eastAsia="zh-CN"/>
        </w:rPr>
        <w:t>和</w:t>
      </w:r>
      <w:r>
        <w:rPr>
          <w:rFonts w:hint="eastAsia" w:ascii="仿宋_GB2312" w:hAnsi="宋体" w:eastAsia="仿宋_GB2312"/>
          <w:spacing w:val="-4"/>
          <w:sz w:val="32"/>
        </w:rPr>
        <w:t>《西安科技大学特别评审教授、副教授职务评审工作实施办法（试行）》（西科发〔2020〕36号）</w:t>
      </w:r>
      <w:r>
        <w:rPr>
          <w:rFonts w:hint="eastAsia" w:ascii="仿宋_GB2312" w:hAnsi="宋体" w:eastAsia="仿宋_GB2312"/>
          <w:color w:val="000000"/>
          <w:sz w:val="32"/>
          <w:szCs w:val="32"/>
        </w:rPr>
        <w:t>规定的教师各级职务任职资格条件的人员，均可申报相应级别职务任职资格。</w:t>
      </w:r>
    </w:p>
    <w:p>
      <w:pPr>
        <w:pStyle w:val="2"/>
        <w:spacing w:line="480" w:lineRule="exact"/>
        <w:ind w:firstLine="640" w:firstLineChars="200"/>
        <w:rPr>
          <w:rFonts w:ascii="仿宋_GB2312" w:hAnsi="宋体" w:eastAsia="仿宋_GB2312"/>
          <w:color w:val="C00000"/>
          <w:sz w:val="32"/>
          <w:szCs w:val="32"/>
        </w:rPr>
      </w:pPr>
      <w:r>
        <w:rPr>
          <w:rFonts w:hint="eastAsia" w:ascii="仿宋_GB2312" w:hAnsi="宋体" w:eastAsia="仿宋_GB2312"/>
          <w:color w:val="000000"/>
          <w:sz w:val="32"/>
          <w:szCs w:val="32"/>
        </w:rPr>
        <w:t>2．</w:t>
      </w:r>
      <w:r>
        <w:rPr>
          <w:rStyle w:val="12"/>
          <w:rFonts w:ascii="仿宋_GB2312" w:hAnsi="宋体" w:eastAsia="仿宋_GB2312"/>
          <w:color w:val="000000"/>
          <w:sz w:val="32"/>
          <w:szCs w:val="32"/>
        </w:rPr>
        <w:t>申报人员只限在编在职人员，</w:t>
      </w:r>
      <w:r>
        <w:rPr>
          <w:rStyle w:val="12"/>
          <w:rFonts w:hint="eastAsia" w:ascii="仿宋_GB2312" w:hAnsi="宋体" w:eastAsia="仿宋_GB2312"/>
          <w:color w:val="000000"/>
          <w:sz w:val="32"/>
          <w:szCs w:val="32"/>
        </w:rPr>
        <w:t>今年内已</w:t>
      </w:r>
      <w:r>
        <w:rPr>
          <w:rStyle w:val="12"/>
          <w:rFonts w:ascii="仿宋_GB2312" w:hAnsi="宋体" w:eastAsia="仿宋_GB2312"/>
          <w:color w:val="000000"/>
          <w:sz w:val="32"/>
          <w:szCs w:val="32"/>
        </w:rPr>
        <w:t>达到国家法定退休年龄的人员不在申报范围之内。</w:t>
      </w:r>
    </w:p>
    <w:p>
      <w:pPr>
        <w:pStyle w:val="2"/>
        <w:spacing w:line="48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二、申报要求</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w:t>
      </w:r>
      <w:r>
        <w:rPr>
          <w:rFonts w:hint="eastAsia" w:ascii="仿宋_GB2312" w:hAnsi="宋体" w:eastAsia="仿宋_GB2312"/>
          <w:color w:val="000000"/>
          <w:spacing w:val="-4"/>
          <w:sz w:val="32"/>
          <w:szCs w:val="32"/>
        </w:rPr>
        <w:t>个人不得直接向学校申报，必须向自己所在的教研室、系提出申请，经学院（部）审核评审并公开展示后统一向学校申报</w:t>
      </w:r>
      <w:r>
        <w:rPr>
          <w:rFonts w:hint="eastAsia" w:ascii="仿宋_GB2312" w:hAnsi="宋体" w:eastAsia="仿宋_GB2312"/>
          <w:color w:val="000000"/>
          <w:sz w:val="32"/>
          <w:szCs w:val="32"/>
        </w:rPr>
        <w:t>。</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2．申报人应提供本人所有学历证书（学位证书、毕业证书）原件及其复印件，教师</w:t>
      </w:r>
      <w:r>
        <w:rPr>
          <w:rFonts w:hint="eastAsia" w:ascii="仿宋_GB2312" w:hAnsi="宋体" w:eastAsia="仿宋_GB2312"/>
          <w:color w:val="000000"/>
          <w:spacing w:val="-2"/>
          <w:sz w:val="32"/>
          <w:szCs w:val="32"/>
        </w:rPr>
        <w:t>资格证书原件及其复印件，任职资格证书原件及其复印件，身份证原件及其复印件，获奖证书原件及其复印件等。只有复印件而无原件的材料不予接收。</w:t>
      </w:r>
    </w:p>
    <w:p>
      <w:pPr>
        <w:pStyle w:val="2"/>
        <w:spacing w:line="480" w:lineRule="exact"/>
        <w:ind w:firstLine="632" w:firstLineChars="200"/>
        <w:rPr>
          <w:rFonts w:ascii="仿宋_GB2312" w:hAnsi="宋体" w:eastAsia="仿宋_GB2312"/>
          <w:color w:val="000000"/>
          <w:spacing w:val="-2"/>
          <w:sz w:val="32"/>
          <w:szCs w:val="32"/>
        </w:rPr>
      </w:pPr>
      <w:r>
        <w:rPr>
          <w:rFonts w:hint="eastAsia" w:ascii="仿宋_GB2312" w:hAnsi="宋体" w:eastAsia="仿宋_GB2312"/>
          <w:color w:val="000000"/>
          <w:spacing w:val="-2"/>
          <w:sz w:val="32"/>
          <w:szCs w:val="32"/>
        </w:rPr>
        <w:t>3．申报人需填报《教师系列专业技术职务任职资格评审表》（一式三份），破格晋升副教授、教授还需填报《西安科技大学2023年破格晋升职称人员情况表》（一式一份）。</w:t>
      </w:r>
    </w:p>
    <w:p>
      <w:pPr>
        <w:pStyle w:val="2"/>
        <w:spacing w:line="480" w:lineRule="exact"/>
        <w:ind w:firstLine="640" w:firstLineChars="200"/>
        <w:rPr>
          <w:rFonts w:ascii="仿宋_GB2312" w:hAnsi="宋体" w:eastAsia="仿宋_GB2312"/>
          <w:spacing w:val="-2"/>
          <w:sz w:val="32"/>
          <w:szCs w:val="32"/>
        </w:rPr>
      </w:pPr>
      <w:r>
        <w:rPr>
          <w:rFonts w:hint="eastAsia" w:ascii="仿宋_GB2312" w:hAnsi="宋体" w:eastAsia="仿宋_GB2312"/>
          <w:color w:val="000000"/>
          <w:sz w:val="32"/>
          <w:szCs w:val="32"/>
        </w:rPr>
        <w:t>4．</w:t>
      </w:r>
      <w:r>
        <w:rPr>
          <w:rFonts w:hint="eastAsia" w:ascii="仿宋_GB2312" w:hAnsi="宋体" w:eastAsia="仿宋_GB2312"/>
          <w:spacing w:val="-2"/>
          <w:sz w:val="32"/>
          <w:szCs w:val="32"/>
        </w:rPr>
        <w:t>根据省教育厅、省人社厅《关于启用“陕西省教育厅职称管理系统”暨开展基层版申报单位管理员培训工作的通知》（陕教师办〔2015〕17号）规定，职称评审材料电子化上传至“陕西省教育厅职称管理系统”。系统入口域名地址为zcps.sneducloud.com，申报人账户随后由人事处统一分发至各学院（部）办公室工作人员。申报人要将个人材料原件扫描或数码拍摄后按照《评审材料电子化规范要求》规定电子化并通过“职称系统”报送提交。请申报人首先在“职称系统”中填报完整的相关个人信息，同时上传提交除《评审表》外的电子化评审材料，申报人员报送提交时间截止为11月4日12:00前。</w:t>
      </w:r>
    </w:p>
    <w:p>
      <w:pPr>
        <w:pStyle w:val="2"/>
        <w:spacing w:line="480" w:lineRule="exact"/>
        <w:ind w:firstLine="632" w:firstLineChars="200"/>
        <w:rPr>
          <w:rFonts w:ascii="仿宋_GB2312" w:hAnsi="宋体" w:eastAsia="仿宋_GB2312"/>
          <w:spacing w:val="-2"/>
          <w:sz w:val="32"/>
          <w:szCs w:val="32"/>
        </w:rPr>
      </w:pPr>
      <w:r>
        <w:rPr>
          <w:rFonts w:hint="eastAsia" w:ascii="仿宋_GB2312" w:hAnsi="宋体" w:eastAsia="仿宋_GB2312"/>
          <w:spacing w:val="-2"/>
          <w:sz w:val="32"/>
          <w:szCs w:val="32"/>
        </w:rPr>
        <w:t>5．申请晋升职务的教师，2013年以后每年须在教学能力发展方面取得6个学分。请各学院（部），做好统计汇总、审核、公开展示工作。申报人在学院部公开展示后根据活动内容到教师教学发展中心审核认定并按照相关要求提供支撑材料，申报人在报送材料时需提交《西安科技大学教师教学能力发展记录单》。</w:t>
      </w:r>
    </w:p>
    <w:p>
      <w:pPr>
        <w:pStyle w:val="2"/>
        <w:spacing w:line="480" w:lineRule="exact"/>
        <w:ind w:firstLine="640" w:firstLineChars="200"/>
        <w:rPr>
          <w:rFonts w:ascii="仿宋_GB2312" w:hAnsi="宋体" w:eastAsia="仿宋_GB2312"/>
          <w:color w:val="000000"/>
          <w:spacing w:val="-2"/>
          <w:sz w:val="32"/>
          <w:szCs w:val="32"/>
        </w:rPr>
      </w:pPr>
      <w:r>
        <w:rPr>
          <w:rFonts w:hint="eastAsia" w:ascii="仿宋_GB2312" w:hAnsi="宋体" w:eastAsia="仿宋_GB2312"/>
          <w:color w:val="000000"/>
          <w:sz w:val="32"/>
          <w:szCs w:val="32"/>
        </w:rPr>
        <w:t>6．</w:t>
      </w:r>
      <w:r>
        <w:rPr>
          <w:rFonts w:hint="eastAsia" w:ascii="仿宋_GB2312" w:hAnsi="宋体" w:eastAsia="仿宋_GB2312"/>
          <w:color w:val="000000"/>
          <w:spacing w:val="-2"/>
          <w:sz w:val="32"/>
          <w:szCs w:val="32"/>
        </w:rPr>
        <w:t>所有申报人的全部参评材料须统一公开展示并由学院（部）在《西安科技大学教师申报职称材料公开展示情况表》上填写展示结果意见。未进行公开展示的申报人材料不予接收。</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7．申报人任现职年限从职称批文规定的任职时间算起，若批文无任职时间的，则从上一次各级大评委会通过之日算起。</w:t>
      </w:r>
    </w:p>
    <w:p>
      <w:pPr>
        <w:pStyle w:val="2"/>
        <w:spacing w:line="48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三、日程安排</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各学院（部）、二级教师职务评审委员会及学校相关部门要高度重视，指定专人负责，严格按照日程安排进行，对逾期不能完成的学校将不予受理。在职称评审工作期间，联络员必须保持联系电话畅通。</w:t>
      </w:r>
    </w:p>
    <w:p>
      <w:pPr>
        <w:spacing w:line="480" w:lineRule="exact"/>
        <w:ind w:firstLine="596" w:firstLineChars="200"/>
        <w:rPr>
          <w:rFonts w:ascii="仿宋_GB2312" w:hAnsi="宋体" w:eastAsia="仿宋_GB2312" w:cs="Courier New"/>
          <w:color w:val="000000" w:themeColor="text1"/>
          <w:sz w:val="32"/>
          <w:szCs w:val="32"/>
        </w:rPr>
      </w:pPr>
      <w:r>
        <w:rPr>
          <w:rFonts w:hint="eastAsia" w:ascii="仿宋_GB2312" w:hAnsi="宋体" w:eastAsia="仿宋_GB2312"/>
          <w:color w:val="000000" w:themeColor="text1"/>
          <w:spacing w:val="-11"/>
          <w:sz w:val="32"/>
          <w:szCs w:val="32"/>
        </w:rPr>
        <w:t>1.10月31日前以学院（部）为单位对申报材料进行公开展示。</w:t>
      </w:r>
    </w:p>
    <w:p>
      <w:pPr>
        <w:pStyle w:val="2"/>
        <w:spacing w:line="480" w:lineRule="exact"/>
        <w:ind w:firstLine="596" w:firstLineChars="200"/>
        <w:rPr>
          <w:rFonts w:ascii="仿宋_GB2312" w:hAnsi="宋体" w:eastAsia="仿宋_GB2312"/>
          <w:color w:val="000000" w:themeColor="text1"/>
          <w:spacing w:val="-11"/>
          <w:sz w:val="32"/>
          <w:szCs w:val="32"/>
        </w:rPr>
      </w:pPr>
      <w:r>
        <w:rPr>
          <w:rFonts w:hint="eastAsia" w:ascii="仿宋_GB2312" w:hAnsi="宋体" w:eastAsia="仿宋_GB2312"/>
          <w:color w:val="000000" w:themeColor="text1"/>
          <w:spacing w:val="-11"/>
          <w:sz w:val="32"/>
          <w:szCs w:val="32"/>
        </w:rPr>
        <w:t>2.11月1日～11月3日各学院（部）统一报送申报人评审材料。</w:t>
      </w:r>
    </w:p>
    <w:p>
      <w:pPr>
        <w:pStyle w:val="2"/>
        <w:spacing w:line="480" w:lineRule="exact"/>
        <w:ind w:firstLine="640" w:firstLineChars="200"/>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报送地点：临潼校区行政楼4楼大厅。</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5"/>
        <w:gridCol w:w="5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65" w:type="dxa"/>
          </w:tcPr>
          <w:p>
            <w:pPr>
              <w:pStyle w:val="2"/>
              <w:spacing w:line="480" w:lineRule="exact"/>
              <w:jc w:val="center"/>
              <w:rPr>
                <w:rFonts w:ascii="仿宋_GB2312" w:hAnsi="宋体" w:eastAsia="仿宋_GB2312"/>
                <w:b/>
                <w:bCs/>
                <w:color w:val="000000" w:themeColor="text1"/>
                <w:sz w:val="28"/>
                <w:szCs w:val="28"/>
              </w:rPr>
            </w:pPr>
            <w:r>
              <w:rPr>
                <w:rFonts w:hint="eastAsia" w:ascii="仿宋_GB2312" w:hAnsi="宋体" w:eastAsia="仿宋_GB2312"/>
                <w:b/>
                <w:bCs/>
                <w:color w:val="000000" w:themeColor="text1"/>
                <w:sz w:val="28"/>
                <w:szCs w:val="28"/>
              </w:rPr>
              <w:t>时间</w:t>
            </w:r>
          </w:p>
        </w:tc>
        <w:tc>
          <w:tcPr>
            <w:tcW w:w="5163" w:type="dxa"/>
          </w:tcPr>
          <w:p>
            <w:pPr>
              <w:pStyle w:val="2"/>
              <w:spacing w:line="480" w:lineRule="exact"/>
              <w:jc w:val="center"/>
              <w:rPr>
                <w:rFonts w:ascii="仿宋_GB2312" w:hAnsi="宋体" w:eastAsia="仿宋_GB2312"/>
                <w:b/>
                <w:bCs/>
                <w:color w:val="000000" w:themeColor="text1"/>
                <w:sz w:val="28"/>
                <w:szCs w:val="28"/>
              </w:rPr>
            </w:pPr>
            <w:r>
              <w:rPr>
                <w:rFonts w:hint="eastAsia" w:ascii="仿宋_GB2312" w:hAnsi="宋体" w:eastAsia="仿宋_GB2312"/>
                <w:b/>
                <w:bCs/>
                <w:color w:val="000000" w:themeColor="text1"/>
                <w:sz w:val="28"/>
                <w:szCs w:val="28"/>
              </w:rPr>
              <w:t>报送单位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65" w:type="dxa"/>
          </w:tcPr>
          <w:p>
            <w:pPr>
              <w:pStyle w:val="2"/>
              <w:spacing w:line="480" w:lineRule="exact"/>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11月1日08:00－12:00</w:t>
            </w:r>
          </w:p>
        </w:tc>
        <w:tc>
          <w:tcPr>
            <w:tcW w:w="5163" w:type="dxa"/>
          </w:tcPr>
          <w:p>
            <w:pPr>
              <w:pStyle w:val="2"/>
              <w:spacing w:line="480" w:lineRule="exact"/>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安全学院  电控学院  化工学院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65" w:type="dxa"/>
          </w:tcPr>
          <w:p>
            <w:pPr>
              <w:pStyle w:val="2"/>
              <w:spacing w:line="480" w:lineRule="exact"/>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11月1日13:00－18:00</w:t>
            </w:r>
          </w:p>
        </w:tc>
        <w:tc>
          <w:tcPr>
            <w:tcW w:w="5163" w:type="dxa"/>
          </w:tcPr>
          <w:p>
            <w:pPr>
              <w:pStyle w:val="2"/>
              <w:spacing w:line="480" w:lineRule="exact"/>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 xml:space="preserve">测绘学院  地环学院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65" w:type="dxa"/>
          </w:tcPr>
          <w:p>
            <w:pPr>
              <w:pStyle w:val="2"/>
              <w:spacing w:line="480" w:lineRule="exact"/>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11月2日08:00－12:00</w:t>
            </w:r>
          </w:p>
        </w:tc>
        <w:tc>
          <w:tcPr>
            <w:tcW w:w="5163" w:type="dxa"/>
          </w:tcPr>
          <w:p>
            <w:pPr>
              <w:pStyle w:val="2"/>
              <w:spacing w:line="480" w:lineRule="exact"/>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材料学院  管理学院  马克思主义学院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65" w:type="dxa"/>
          </w:tcPr>
          <w:p>
            <w:pPr>
              <w:pStyle w:val="2"/>
              <w:spacing w:line="480" w:lineRule="exact"/>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11月2日13:00－18:00</w:t>
            </w:r>
          </w:p>
        </w:tc>
        <w:tc>
          <w:tcPr>
            <w:tcW w:w="5163" w:type="dxa"/>
          </w:tcPr>
          <w:p>
            <w:pPr>
              <w:pStyle w:val="2"/>
              <w:spacing w:line="480" w:lineRule="exact"/>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机械学院  计算机学院   建工学院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65" w:type="dxa"/>
          </w:tcPr>
          <w:p>
            <w:pPr>
              <w:pStyle w:val="2"/>
              <w:spacing w:line="480" w:lineRule="exact"/>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11月3日08:00－12:00</w:t>
            </w:r>
          </w:p>
        </w:tc>
        <w:tc>
          <w:tcPr>
            <w:tcW w:w="5163" w:type="dxa"/>
          </w:tcPr>
          <w:p>
            <w:pPr>
              <w:pStyle w:val="2"/>
              <w:spacing w:line="480" w:lineRule="exact"/>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能源学院  艺术学院  人外学院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65" w:type="dxa"/>
          </w:tcPr>
          <w:p>
            <w:pPr>
              <w:pStyle w:val="2"/>
              <w:spacing w:line="480" w:lineRule="exact"/>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11月3日13:00－18:00</w:t>
            </w:r>
          </w:p>
        </w:tc>
        <w:tc>
          <w:tcPr>
            <w:tcW w:w="5163" w:type="dxa"/>
          </w:tcPr>
          <w:p>
            <w:pPr>
              <w:pStyle w:val="2"/>
              <w:spacing w:line="480" w:lineRule="exact"/>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 xml:space="preserve">理学院  通信学院  体育部  </w:t>
            </w:r>
          </w:p>
        </w:tc>
      </w:tr>
    </w:tbl>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3.各二级教师职务评审委员会领取申报人员评审材料（领取时间另行通知）。</w:t>
      </w:r>
    </w:p>
    <w:p>
      <w:pPr>
        <w:pStyle w:val="2"/>
        <w:spacing w:line="48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四、二级教师职务评审委员会评审</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1．经校职改领导小组研究决定，今年院（部）教师职务评审委员会根据申报情况由学校统一安排组建院（部）教师职务评审委员会；</w:t>
      </w:r>
      <w:r>
        <w:rPr>
          <w:rFonts w:hint="eastAsia" w:ascii="仿宋_GB2312" w:hAnsi="宋体" w:eastAsia="仿宋_GB2312"/>
          <w:color w:val="000000" w:themeColor="text1"/>
          <w:sz w:val="32"/>
          <w:szCs w:val="32"/>
        </w:rPr>
        <w:t>特别评审单独设立特别评审委员会，由人事处组建；</w:t>
      </w:r>
      <w:r>
        <w:rPr>
          <w:rFonts w:hint="eastAsia" w:ascii="仿宋_GB2312" w:hAnsi="宋体" w:eastAsia="仿宋_GB2312"/>
          <w:color w:val="000000"/>
          <w:sz w:val="32"/>
          <w:szCs w:val="32"/>
        </w:rPr>
        <w:t>教学型副教授单独设立教学型副教授评审委员会，由教务处组建；</w:t>
      </w:r>
      <w:r>
        <w:rPr>
          <w:rFonts w:hint="eastAsia" w:ascii="仿宋_GB2312" w:hAnsi="Times New Roman" w:eastAsia="仿宋_GB2312" w:cs="Times New Roman"/>
          <w:color w:val="000000" w:themeColor="text1"/>
          <w:spacing w:val="-2"/>
          <w:kern w:val="2"/>
          <w:sz w:val="32"/>
          <w:szCs w:val="32"/>
        </w:rPr>
        <w:t>思政课教师单独设立职务评审委员会，由马克思主义学院</w:t>
      </w:r>
      <w:r>
        <w:rPr>
          <w:rFonts w:hint="eastAsia" w:ascii="仿宋_GB2312" w:hAnsi="宋体" w:eastAsia="仿宋_GB2312"/>
          <w:color w:val="000000"/>
          <w:sz w:val="32"/>
          <w:szCs w:val="32"/>
        </w:rPr>
        <w:t>组建；辅导员单独设立职务评审委员会，由学工部组建。</w:t>
      </w:r>
    </w:p>
    <w:p>
      <w:pPr>
        <w:pStyle w:val="2"/>
        <w:spacing w:line="480" w:lineRule="exact"/>
        <w:ind w:firstLine="640" w:firstLineChars="200"/>
        <w:rPr>
          <w:rFonts w:ascii="仿宋_GB2312" w:hAnsi="宋体" w:eastAsia="仿宋_GB2312"/>
          <w:color w:val="000000"/>
          <w:spacing w:val="-6"/>
          <w:sz w:val="32"/>
          <w:szCs w:val="32"/>
        </w:rPr>
      </w:pPr>
      <w:r>
        <w:rPr>
          <w:rFonts w:hint="eastAsia" w:ascii="仿宋_GB2312" w:hAnsi="宋体" w:eastAsia="仿宋_GB2312"/>
          <w:color w:val="000000"/>
          <w:sz w:val="32"/>
          <w:szCs w:val="32"/>
        </w:rPr>
        <w:t>2．学校根据学院（部）教师专业技术职务结构控制比例及</w:t>
      </w:r>
      <w:r>
        <w:rPr>
          <w:rFonts w:hint="eastAsia" w:ascii="仿宋_GB2312" w:hAnsi="宋体" w:eastAsia="仿宋_GB2312"/>
          <w:color w:val="000000"/>
          <w:spacing w:val="-6"/>
          <w:sz w:val="32"/>
          <w:szCs w:val="32"/>
        </w:rPr>
        <w:t>符合申报条件的人数给各二级教师职务评审委员会下达评审指标。</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3．各二级教师职务评审委员会按照学校下达的评审指标，对申报人进行评价，推荐评审教授和副教授人员，并组织申报副教授及以下人员述职答辩（讲师及其以下人员只述职不答辩，认定人员不述职答辩）。校教师职务评审委员会对二级教师职务评审委员会评审通过的讲师及以下人员进行审定，对申报教授、副教授人员进行评审，并组织申报教授、破格评审人员述职答辩。</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4．各二级教师职务评审委员会召开的评审会议，出席评委超过应到评委的2/3，评审结果方为有效。评审以无记名投票方式表决，同意票数超过出席会议成员人数的2/3方为通过。未出席评审会的委员不得委托他人投票或预先投票或补充投票。遇评委本人或其亲属申报专业技术职务任职资格时，该评委应主动回避或被告知回避。</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5．各二级教师职务评审委员会成员须遵守评审纪律，不得泄露评审情况，</w:t>
      </w:r>
      <w:r>
        <w:rPr>
          <w:rFonts w:hint="eastAsia" w:ascii="仿宋_GB2312" w:hAnsi="宋体" w:eastAsia="仿宋_GB2312"/>
          <w:bCs/>
          <w:sz w:val="32"/>
          <w:szCs w:val="32"/>
        </w:rPr>
        <w:t>对不遵守评审纪律的成员，取消其资格</w:t>
      </w:r>
      <w:r>
        <w:rPr>
          <w:rFonts w:hint="eastAsia" w:ascii="仿宋_GB2312" w:hAnsi="宋体" w:eastAsia="仿宋_GB2312"/>
          <w:color w:val="000000"/>
          <w:sz w:val="32"/>
          <w:szCs w:val="32"/>
        </w:rPr>
        <w:t>，并追究其由此造成的责任。</w:t>
      </w:r>
    </w:p>
    <w:p>
      <w:pPr>
        <w:pStyle w:val="2"/>
        <w:spacing w:line="48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五、其他有关问题的规定</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所有评审表必须是原件，原件指表中所有应签字、盖章或贴照片的地方，均由相关人亲笔签名、加盖公章或粘贴照片。各学院（部）及申报人须一次填妥表中各项要求（评审表中不得有任何更改的痕迹，否则视为不合格材料）并签字盖章后按时报送。申报中、高级职称人员的评审表填写内容除人事、职改等部门意见或鉴定外一律打印，内容要具体真实，字体统一使用仿宋_GB2312。评审表必须使用8K纸正反面套印装订，单页打印装订或正反面打印但单页装订的评审表不予接收。评审表请严格按《评审表填表说明》认真填写。</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2．评审表中的“主管部门审核意见”栏分别由各学院（部）安排专人负责到教务处、科技处、研究生院、学科办、学工部、人事处及本学院（部）对每位申报人所填写的任现职以来的教学、科研、论文、论著、获奖等项目进行认真核实，并由主管部门负责人签名，加盖主管部门公章。</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3．第12页“任职期间每学年度考核结果”由申报人在人事处查询确认后再行填写。</w:t>
      </w:r>
    </w:p>
    <w:p>
      <w:pPr>
        <w:spacing w:line="540" w:lineRule="exact"/>
        <w:ind w:firstLine="640" w:firstLineChars="200"/>
        <w:rPr>
          <w:rFonts w:ascii="仿宋_GB2312" w:hAnsi="宋体" w:eastAsia="仿宋_GB2312" w:cs="Courier New"/>
          <w:color w:val="000000"/>
          <w:spacing w:val="-2"/>
          <w:sz w:val="32"/>
          <w:szCs w:val="32"/>
        </w:rPr>
      </w:pPr>
      <w:r>
        <w:rPr>
          <w:rFonts w:hint="eastAsia" w:ascii="仿宋_GB2312" w:hAnsi="宋体" w:eastAsia="仿宋_GB2312" w:cs="Courier New"/>
          <w:color w:val="000000"/>
          <w:sz w:val="32"/>
          <w:szCs w:val="32"/>
        </w:rPr>
        <w:t>4．每位申报人要认真填写本人任现职以来的教学、科研工作情况。申报人任现职期间取得</w:t>
      </w:r>
      <w:r>
        <w:rPr>
          <w:rFonts w:hint="eastAsia" w:ascii="仿宋_GB2312" w:hAnsi="宋体" w:eastAsia="仿宋_GB2312" w:cs="Courier New"/>
          <w:color w:val="000000"/>
          <w:spacing w:val="-2"/>
          <w:sz w:val="32"/>
          <w:szCs w:val="32"/>
        </w:rPr>
        <w:t>的各项业绩必须有翔实的佐证材料，如：</w:t>
      </w:r>
    </w:p>
    <w:p>
      <w:pPr>
        <w:spacing w:line="540" w:lineRule="exact"/>
        <w:ind w:firstLine="624" w:firstLineChars="200"/>
        <w:rPr>
          <w:rFonts w:ascii="仿宋_GB2312" w:hAnsi="宋体" w:eastAsia="仿宋_GB2312"/>
          <w:spacing w:val="-4"/>
          <w:sz w:val="32"/>
        </w:rPr>
      </w:pPr>
      <w:r>
        <w:rPr>
          <w:rFonts w:hint="eastAsia" w:ascii="仿宋_GB2312" w:hAnsi="宋体" w:eastAsia="仿宋_GB2312"/>
          <w:spacing w:val="-4"/>
          <w:sz w:val="32"/>
        </w:rPr>
        <w:t>（1）申报教学型副教授，教师承担的研究生公共基础课教学工作量等同于本科课堂教学工作量，由研究生院进行认定。</w:t>
      </w:r>
    </w:p>
    <w:p>
      <w:pPr>
        <w:spacing w:line="540" w:lineRule="exact"/>
        <w:ind w:firstLine="624" w:firstLineChars="200"/>
        <w:rPr>
          <w:rFonts w:ascii="仿宋_GB2312" w:hAnsi="宋体" w:eastAsia="仿宋_GB2312"/>
          <w:spacing w:val="-4"/>
          <w:sz w:val="32"/>
        </w:rPr>
      </w:pPr>
      <w:r>
        <w:rPr>
          <w:rFonts w:hint="eastAsia" w:ascii="仿宋_GB2312" w:hAnsi="宋体" w:eastAsia="仿宋_GB2312"/>
          <w:spacing w:val="-4"/>
          <w:sz w:val="32"/>
        </w:rPr>
        <w:t>（2）论文为公开发表的期刊且有期刊原件，论文收录证明应由西安科技大学图书馆或西安交通大学图书馆出具。期刊的合法性可登录中国知网（http://www.cnki.net）查询。根据教育厅要求，外文期刊被（SCI、EI、ISTP）收录方可作为有效期刊。</w:t>
      </w:r>
    </w:p>
    <w:p>
      <w:pPr>
        <w:spacing w:line="560" w:lineRule="exact"/>
        <w:ind w:firstLine="624" w:firstLineChars="200"/>
        <w:rPr>
          <w:rFonts w:ascii="仿宋_GB2312" w:eastAsia="仿宋_GB2312"/>
          <w:sz w:val="32"/>
          <w:szCs w:val="32"/>
        </w:rPr>
      </w:pPr>
      <w:r>
        <w:rPr>
          <w:rFonts w:hint="eastAsia" w:ascii="仿宋_GB2312" w:hAnsi="宋体" w:eastAsia="仿宋_GB2312"/>
          <w:spacing w:val="-4"/>
          <w:sz w:val="32"/>
        </w:rPr>
        <w:t>（3）</w:t>
      </w:r>
      <w:r>
        <w:rPr>
          <w:rFonts w:hint="eastAsia" w:ascii="仿宋_GB2312" w:eastAsia="仿宋_GB2312"/>
          <w:sz w:val="32"/>
          <w:szCs w:val="32"/>
        </w:rPr>
        <w:t>人文社会科学领域发表的文章，处于交叉学科的，被SCI、SSCI和EI收录，可等同CSCD、CSSCI源期刊全文发表或新华文摘、人大报刊复印资料全文收录。中央和地方主要媒体上发表的理论文章等纳入思想政治理论课教师职称成果评价范围。</w:t>
      </w:r>
    </w:p>
    <w:p>
      <w:pPr>
        <w:spacing w:line="540" w:lineRule="exact"/>
        <w:ind w:firstLine="624" w:firstLineChars="200"/>
        <w:rPr>
          <w:rFonts w:ascii="仿宋_GB2312" w:hAnsi="宋体" w:eastAsia="仿宋_GB2312"/>
          <w:spacing w:val="-4"/>
          <w:sz w:val="32"/>
        </w:rPr>
      </w:pPr>
      <w:r>
        <w:rPr>
          <w:rFonts w:hint="eastAsia" w:ascii="仿宋_GB2312" w:hAnsi="宋体" w:eastAsia="仿宋_GB2312"/>
          <w:spacing w:val="-4"/>
          <w:sz w:val="32"/>
        </w:rPr>
        <w:t>（4）专著、教材是公开出版发行且需提供原件，其工作量的认定以前言或后记中的说明为依据，再版教材、专著不能作为有效的业绩材料。</w:t>
      </w:r>
    </w:p>
    <w:p>
      <w:pPr>
        <w:spacing w:line="480" w:lineRule="exact"/>
        <w:ind w:firstLine="624" w:firstLineChars="200"/>
        <w:rPr>
          <w:rFonts w:ascii="仿宋_GB2312" w:hAnsi="宋体" w:eastAsia="仿宋_GB2312"/>
          <w:spacing w:val="-4"/>
          <w:sz w:val="32"/>
        </w:rPr>
      </w:pPr>
      <w:r>
        <w:rPr>
          <w:rFonts w:hint="eastAsia" w:ascii="仿宋_GB2312" w:hAnsi="宋体" w:eastAsia="仿宋_GB2312"/>
          <w:spacing w:val="-4"/>
          <w:sz w:val="32"/>
        </w:rPr>
        <w:t>（5）各类获奖证书、专利证书均须提供证书原件。</w:t>
      </w:r>
    </w:p>
    <w:p>
      <w:pPr>
        <w:spacing w:line="540" w:lineRule="exact"/>
        <w:ind w:firstLine="624" w:firstLineChars="200"/>
        <w:rPr>
          <w:rFonts w:ascii="仿宋_GB2312" w:hAnsi="宋体" w:eastAsia="仿宋_GB2312"/>
          <w:spacing w:val="-4"/>
          <w:sz w:val="32"/>
        </w:rPr>
      </w:pPr>
      <w:r>
        <w:rPr>
          <w:rFonts w:hint="eastAsia" w:ascii="仿宋_GB2312" w:hAnsi="宋体" w:eastAsia="仿宋_GB2312"/>
          <w:spacing w:val="-4"/>
          <w:sz w:val="32"/>
        </w:rPr>
        <w:t>（6）主持或参与的科研项目须提供项目立项材料、经费证明材料、结题证明和研究成果证明材料，其中：</w:t>
      </w:r>
    </w:p>
    <w:p>
      <w:pPr>
        <w:spacing w:line="540" w:lineRule="exact"/>
        <w:ind w:firstLine="624" w:firstLineChars="200"/>
        <w:rPr>
          <w:rFonts w:ascii="仿宋_GB2312" w:hAnsi="宋体" w:eastAsia="仿宋_GB2312"/>
          <w:spacing w:val="-4"/>
          <w:sz w:val="32"/>
        </w:rPr>
      </w:pPr>
      <w:r>
        <w:rPr>
          <w:rFonts w:hint="eastAsia" w:ascii="仿宋_GB2312" w:hAnsi="宋体" w:eastAsia="仿宋_GB2312"/>
          <w:spacing w:val="-4"/>
          <w:sz w:val="32"/>
        </w:rPr>
        <w:t>立项材料：作为主持人纵向项目为立项批准文件，横向项目为项目合同书。立项材料中应有明确的主持人或参与人姓名和身份。作为参与人纵向项目还需提供计划任务书（需有项目下达机关签章）。</w:t>
      </w:r>
    </w:p>
    <w:p>
      <w:pPr>
        <w:spacing w:line="540" w:lineRule="exact"/>
        <w:ind w:firstLine="624" w:firstLineChars="200"/>
        <w:rPr>
          <w:rFonts w:ascii="仿宋_GB2312" w:hAnsi="宋体" w:eastAsia="仿宋_GB2312"/>
          <w:spacing w:val="-4"/>
          <w:sz w:val="32"/>
        </w:rPr>
      </w:pPr>
      <w:r>
        <w:rPr>
          <w:rFonts w:hint="eastAsia" w:ascii="仿宋_GB2312" w:hAnsi="宋体" w:eastAsia="仿宋_GB2312"/>
          <w:spacing w:val="-4"/>
          <w:sz w:val="32"/>
        </w:rPr>
        <w:t>经费证明材料：作为主持人纵向项目立项文件中如有明确的资助经费金额，则不需提供，否则需提供经费证明。</w:t>
      </w:r>
    </w:p>
    <w:p>
      <w:pPr>
        <w:spacing w:line="540" w:lineRule="exact"/>
        <w:ind w:firstLine="624" w:firstLineChars="200"/>
        <w:rPr>
          <w:rFonts w:ascii="仿宋_GB2312" w:hAnsi="宋体" w:eastAsia="仿宋_GB2312"/>
          <w:spacing w:val="-4"/>
          <w:sz w:val="32"/>
        </w:rPr>
      </w:pPr>
      <w:r>
        <w:rPr>
          <w:rFonts w:hint="eastAsia" w:ascii="仿宋_GB2312" w:hAnsi="宋体" w:eastAsia="仿宋_GB2312"/>
          <w:spacing w:val="-4"/>
          <w:sz w:val="32"/>
        </w:rPr>
        <w:t>结题证明材料：作为主持人纵向项目为结题证书，横向项目为结题证明（需有项目单位签章）。结题证明材料中应有明确的主持人或参与人姓名和身份且与立项材料一致。</w:t>
      </w:r>
    </w:p>
    <w:p>
      <w:pPr>
        <w:spacing w:line="480" w:lineRule="exact"/>
        <w:ind w:firstLine="624" w:firstLineChars="200"/>
        <w:rPr>
          <w:rFonts w:ascii="仿宋_GB2312" w:hAnsi="宋体" w:eastAsia="仿宋_GB2312" w:cs="Courier New"/>
          <w:color w:val="000000"/>
          <w:spacing w:val="-4"/>
          <w:sz w:val="32"/>
          <w:szCs w:val="32"/>
        </w:rPr>
      </w:pPr>
      <w:r>
        <w:rPr>
          <w:rFonts w:hint="eastAsia" w:ascii="仿宋_GB2312" w:hAnsi="宋体" w:eastAsia="仿宋_GB2312"/>
          <w:spacing w:val="-4"/>
          <w:sz w:val="32"/>
        </w:rPr>
        <w:t>研究成果证明材料：项目研究成果的文字性佐证材料，如论文、专著、获奖证书等。</w:t>
      </w:r>
    </w:p>
    <w:p>
      <w:pPr>
        <w:spacing w:line="480" w:lineRule="exact"/>
        <w:ind w:firstLine="640" w:firstLineChars="200"/>
        <w:rPr>
          <w:rFonts w:ascii="仿宋_GB2312" w:hAnsi="宋体" w:eastAsia="仿宋_GB2312" w:cs="Courier New"/>
          <w:color w:val="000000"/>
          <w:spacing w:val="-2"/>
          <w:sz w:val="32"/>
          <w:szCs w:val="32"/>
        </w:rPr>
      </w:pPr>
      <w:r>
        <w:rPr>
          <w:rFonts w:hint="eastAsia" w:ascii="仿宋_GB2312" w:hAnsi="宋体" w:eastAsia="仿宋_GB2312" w:cs="Courier New"/>
          <w:color w:val="000000"/>
          <w:sz w:val="32"/>
          <w:szCs w:val="32"/>
        </w:rPr>
        <w:t>5．</w:t>
      </w:r>
      <w:r>
        <w:rPr>
          <w:rFonts w:hint="eastAsia" w:ascii="仿宋_GB2312" w:hAnsi="宋体" w:eastAsia="仿宋_GB2312" w:cs="Courier New"/>
          <w:color w:val="000000"/>
          <w:spacing w:val="-2"/>
          <w:sz w:val="32"/>
          <w:szCs w:val="32"/>
        </w:rPr>
        <w:t>所有申报及转换系列人员需撰写专业技术工作报告，报告应能反映其任现职以来专业技术工作情况及所取得的业绩情况。</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6．申报高级职称者至少需准备4个材料袋、1个原件夹。</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材料袋为：（1）主件袋：只装《教师系列专业技术职务任职资格评审表》和专业技术工作报告；（2）代表作袋：只装需鉴定的代表作，教授3篇（本）、副教授2篇（本）；（3）复印件袋：只装材料的复印件，复印件均为A4纸型，排放顺序应与原件夹中材料一致，并进行装订，首页为复印件目录；（4）副件袋：装所有公开发表的著作、论文等材料的原件。</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原件</w:t>
      </w:r>
      <w:r>
        <w:rPr>
          <w:rFonts w:hint="eastAsia" w:ascii="仿宋_GB2312" w:eastAsia="仿宋_GB2312"/>
          <w:color w:val="000000"/>
          <w:sz w:val="32"/>
          <w:szCs w:val="32"/>
        </w:rPr>
        <w:t>夹</w:t>
      </w:r>
      <w:r>
        <w:rPr>
          <w:rFonts w:hint="eastAsia" w:ascii="仿宋_GB2312" w:hAnsi="宋体" w:eastAsia="仿宋_GB2312"/>
          <w:color w:val="000000"/>
          <w:sz w:val="32"/>
          <w:szCs w:val="32"/>
        </w:rPr>
        <w:t>：只装各类证件及获奖证书等原件，请按身份证、学位证、毕业证（学位证和毕业证请按博士、硕士、本科的顺序）、教师资格证、获奖证书、科研项目支撑材料原件顺序排放。</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所有评审材料袋封面要粘贴用A4纸打印的封面（主要内容：申报人所在学校、申报人姓名、申报资格、申报学科及材料袋内材料相对应的目录），并在材料袋底部两个侧面粘贴打印有单位、姓名、专业及申报资格的字条，每个人的申报材料应在材料袋底部标明共几袋字样（原件夹不计入总数），如：4-1，4-2，4-3，4-4等。格式详见《封面及材料袋底部侧面格式》。</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7．省高等学校教师系列职务任职资格拟评审的专业学科定为以下23个：（1）马列学科；（2）中文学科；（3）经济学科；（4）外语学科；（5）机械学科；（6）数学学科；（7）物理学科；（8）化学学科；（9）体育学科；（10）教育心理学科；（11）思政学科；（12）电学学科；（13）计算机学科；（14）轻纺学科；（15）地矿油学科；（16）医学学科；（17）农林生物学科；（18）表演艺术学科；（19）美术设计学科；（20）材料学科；（21）历史学科；（22）法学学科；（23）土建学科。</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8．按照省上有关文件规定，</w:t>
      </w:r>
      <w:r>
        <w:rPr>
          <w:rFonts w:hint="eastAsia" w:ascii="仿宋_GB2312" w:hAnsi="Times New Roman" w:eastAsia="仿宋_GB2312" w:cs="Times New Roman"/>
          <w:color w:val="000000" w:themeColor="text1"/>
          <w:spacing w:val="-2"/>
          <w:kern w:val="2"/>
          <w:sz w:val="32"/>
          <w:szCs w:val="32"/>
        </w:rPr>
        <w:t>思政课教师、辅导员单独设立职务评审委员会</w:t>
      </w:r>
      <w:r>
        <w:rPr>
          <w:rFonts w:hint="eastAsia" w:ascii="仿宋_GB2312" w:hAnsi="宋体" w:eastAsia="仿宋_GB2312"/>
          <w:color w:val="000000"/>
          <w:sz w:val="32"/>
          <w:szCs w:val="32"/>
        </w:rPr>
        <w:t>进行评审。辅导员学生工作工作量由学工部审核盖章。</w:t>
      </w:r>
    </w:p>
    <w:p>
      <w:pPr>
        <w:pStyle w:val="2"/>
        <w:spacing w:line="480" w:lineRule="exact"/>
        <w:ind w:firstLine="640" w:firstLineChars="200"/>
        <w:rPr>
          <w:rFonts w:ascii="仿宋_GB2312" w:hAnsi="宋体" w:eastAsia="仿宋_GB2312"/>
          <w:sz w:val="32"/>
          <w:szCs w:val="32"/>
        </w:rPr>
      </w:pPr>
      <w:r>
        <w:rPr>
          <w:rFonts w:hint="eastAsia" w:ascii="仿宋_GB2312" w:hAnsi="宋体" w:eastAsia="仿宋_GB2312"/>
          <w:sz w:val="32"/>
          <w:szCs w:val="32"/>
        </w:rPr>
        <w:t>9．人文社科领域核心期刊以北京大学图书馆和中国社会科学院文献信息中心编辑的“核心期刊”目录作为确认依据；其他学科核心期刊以北京大学图书馆编辑的“核心期刊”目录作为确认依据。</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10．凡需查阅申报人档案者须由学院（部）领导安排一名工作人员统一查阅并办理有关手续。人事部门按照档案管理规定不接待个人查阅。</w:t>
      </w:r>
    </w:p>
    <w:p>
      <w:pPr>
        <w:pStyle w:val="2"/>
        <w:spacing w:line="480" w:lineRule="exact"/>
        <w:ind w:firstLine="640" w:firstLineChars="200"/>
        <w:rPr>
          <w:rFonts w:ascii="仿宋_GB2312" w:hAnsi="宋体" w:eastAsia="仿宋_GB2312"/>
          <w:color w:val="000000"/>
          <w:spacing w:val="-2"/>
          <w:sz w:val="32"/>
          <w:szCs w:val="32"/>
        </w:rPr>
      </w:pPr>
      <w:r>
        <w:rPr>
          <w:rFonts w:hint="eastAsia" w:ascii="仿宋_GB2312" w:hAnsi="宋体" w:eastAsia="仿宋_GB2312"/>
          <w:color w:val="000000"/>
          <w:sz w:val="32"/>
          <w:szCs w:val="32"/>
        </w:rPr>
        <w:t>11．根据</w:t>
      </w:r>
      <w:r>
        <w:rPr>
          <w:rFonts w:hint="eastAsia" w:ascii="仿宋_GB2312" w:hAnsi="宋体" w:eastAsia="仿宋_GB2312"/>
          <w:color w:val="000000"/>
          <w:spacing w:val="-2"/>
          <w:sz w:val="32"/>
          <w:szCs w:val="32"/>
        </w:rPr>
        <w:t>省教育厅的规定，我校所有申报者的材料评审前必须按要求时间进行公开展示，接受群众监督。</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12．职称评审工作是关系到教师切身利益的大事，希望各学院（部）及参评人员高度重视，认真组织，确保职称评审工作顺利进行。</w:t>
      </w:r>
    </w:p>
    <w:p>
      <w:pPr>
        <w:pStyle w:val="2"/>
        <w:spacing w:line="48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13．参评人员要自觉维护职称评审纪律，坚决杜绝找人说情、拿着卡片和简表四处走访、拉票、请客等违纪行为。禁止通过造谣中伤、相互攻击等不正当行为，妨碍、干扰正常的评审秩序。对出现的违纪问题，学校将及时给予查处，严格责任追究。</w:t>
      </w:r>
    </w:p>
    <w:p>
      <w:pPr>
        <w:spacing w:line="360" w:lineRule="exact"/>
        <w:rPr>
          <w:rFonts w:ascii="仿宋_GB2312" w:hAnsi="宋体" w:eastAsia="仿宋_GB2312" w:cs="宋体"/>
          <w:sz w:val="32"/>
          <w:szCs w:val="32"/>
        </w:rPr>
      </w:pPr>
    </w:p>
    <w:p>
      <w:pPr>
        <w:pStyle w:val="11"/>
        <w:ind w:firstLine="480"/>
      </w:pPr>
    </w:p>
    <w:p>
      <w:pPr>
        <w:pStyle w:val="11"/>
        <w:ind w:firstLine="480"/>
      </w:pPr>
    </w:p>
    <w:p>
      <w:pPr>
        <w:pStyle w:val="11"/>
        <w:ind w:firstLine="480"/>
      </w:pPr>
    </w:p>
    <w:p>
      <w:pPr>
        <w:pStyle w:val="11"/>
        <w:ind w:firstLine="480"/>
      </w:pPr>
    </w:p>
    <w:p>
      <w:pPr>
        <w:pStyle w:val="11"/>
        <w:ind w:firstLine="480"/>
      </w:pPr>
    </w:p>
    <w:p>
      <w:pPr>
        <w:pStyle w:val="11"/>
        <w:ind w:firstLine="480"/>
      </w:pPr>
    </w:p>
    <w:p>
      <w:pPr>
        <w:pStyle w:val="11"/>
        <w:ind w:firstLine="480"/>
      </w:pPr>
    </w:p>
    <w:p>
      <w:pPr>
        <w:pStyle w:val="11"/>
        <w:ind w:firstLine="480"/>
      </w:pPr>
    </w:p>
    <w:p>
      <w:pPr>
        <w:pStyle w:val="11"/>
        <w:ind w:firstLine="480"/>
      </w:pPr>
    </w:p>
    <w:p>
      <w:pPr>
        <w:pStyle w:val="11"/>
        <w:ind w:firstLine="480"/>
      </w:pPr>
    </w:p>
    <w:p>
      <w:pPr>
        <w:pStyle w:val="11"/>
        <w:ind w:firstLine="480"/>
      </w:pPr>
    </w:p>
    <w:p>
      <w:pPr>
        <w:pStyle w:val="11"/>
        <w:ind w:firstLine="480"/>
      </w:pPr>
    </w:p>
    <w:p>
      <w:pPr>
        <w:pStyle w:val="11"/>
        <w:ind w:firstLine="480"/>
      </w:pPr>
    </w:p>
    <w:p>
      <w:pPr>
        <w:pStyle w:val="11"/>
        <w:ind w:firstLine="480"/>
      </w:pPr>
    </w:p>
    <w:p>
      <w:pPr>
        <w:pStyle w:val="11"/>
        <w:ind w:firstLine="480"/>
      </w:pPr>
    </w:p>
    <w:p>
      <w:pPr>
        <w:pStyle w:val="11"/>
        <w:ind w:firstLine="480"/>
      </w:pPr>
    </w:p>
    <w:p>
      <w:pPr>
        <w:pStyle w:val="11"/>
        <w:ind w:firstLine="480"/>
      </w:pPr>
    </w:p>
    <w:p>
      <w:pPr>
        <w:pStyle w:val="11"/>
        <w:ind w:firstLine="480"/>
      </w:pPr>
    </w:p>
    <w:p>
      <w:pPr>
        <w:spacing w:line="500" w:lineRule="exact"/>
        <w:textAlignment w:val="baseline"/>
        <w:rPr>
          <w:rStyle w:val="12"/>
          <w:rFonts w:ascii="黑体" w:hAnsi="宋体" w:eastAsia="黑体"/>
          <w:color w:val="000000"/>
          <w:spacing w:val="-4"/>
          <w:sz w:val="32"/>
          <w:szCs w:val="21"/>
        </w:rPr>
      </w:pPr>
      <w:r>
        <w:rPr>
          <w:rStyle w:val="12"/>
          <w:rFonts w:hint="eastAsia" w:ascii="黑体" w:hAnsi="宋体" w:eastAsia="黑体"/>
          <w:color w:val="000000"/>
          <w:spacing w:val="-4"/>
          <w:sz w:val="32"/>
          <w:szCs w:val="21"/>
        </w:rPr>
        <w:t>附件3</w:t>
      </w:r>
    </w:p>
    <w:p>
      <w:pPr>
        <w:snapToGrid w:val="0"/>
        <w:textAlignment w:val="baseline"/>
        <w:rPr>
          <w:rStyle w:val="12"/>
          <w:rFonts w:ascii="宋体" w:hAnsi="宋体"/>
          <w:b/>
          <w:color w:val="C00000"/>
          <w:sz w:val="36"/>
          <w:szCs w:val="36"/>
        </w:rPr>
      </w:pPr>
      <w:r>
        <w:rPr>
          <w:rStyle w:val="12"/>
          <w:rFonts w:ascii="宋体" w:hAnsi="宋体"/>
          <w:b/>
          <w:color w:val="C00000"/>
          <w:sz w:val="36"/>
          <w:szCs w:val="36"/>
        </w:rPr>
        <w:drawing>
          <wp:anchor distT="0" distB="0" distL="114300" distR="114300" simplePos="0" relativeHeight="251661312" behindDoc="1" locked="0" layoutInCell="1" allowOverlap="1">
            <wp:simplePos x="0" y="0"/>
            <wp:positionH relativeFrom="column">
              <wp:posOffset>-172720</wp:posOffset>
            </wp:positionH>
            <wp:positionV relativeFrom="paragraph">
              <wp:posOffset>81280</wp:posOffset>
            </wp:positionV>
            <wp:extent cx="6059805" cy="7465060"/>
            <wp:effectExtent l="0" t="0" r="5715" b="2540"/>
            <wp:wrapTight wrapText="bothSides">
              <wp:wrapPolygon>
                <wp:start x="0" y="0"/>
                <wp:lineTo x="0" y="21563"/>
                <wp:lineTo x="21566" y="21563"/>
                <wp:lineTo x="21566" y="0"/>
                <wp:lineTo x="0" y="0"/>
              </wp:wrapPolygon>
            </wp:wrapTight>
            <wp:docPr id="3" name="图片 3" descr="1667622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7622759(1)"/>
                    <pic:cNvPicPr>
                      <a:picLocks noChangeAspect="1"/>
                    </pic:cNvPicPr>
                  </pic:nvPicPr>
                  <pic:blipFill>
                    <a:blip r:embed="rId10" cstate="print"/>
                    <a:stretch>
                      <a:fillRect/>
                    </a:stretch>
                  </pic:blipFill>
                  <pic:spPr>
                    <a:xfrm>
                      <a:off x="0" y="0"/>
                      <a:ext cx="6059805" cy="7465060"/>
                    </a:xfrm>
                    <a:prstGeom prst="rect">
                      <a:avLst/>
                    </a:prstGeom>
                  </pic:spPr>
                </pic:pic>
              </a:graphicData>
            </a:graphic>
          </wp:anchor>
        </w:drawing>
      </w:r>
    </w:p>
    <w:p>
      <w:pPr>
        <w:spacing w:line="500" w:lineRule="exact"/>
        <w:textAlignment w:val="baseline"/>
      </w:pPr>
      <w:r>
        <w:rPr>
          <w:rStyle w:val="12"/>
          <w:rFonts w:ascii="黑体" w:hAnsi="宋体" w:eastAsia="黑体"/>
          <w:color w:val="000000"/>
          <w:spacing w:val="-4"/>
          <w:sz w:val="32"/>
          <w:szCs w:val="21"/>
        </w:rPr>
        <w:drawing>
          <wp:anchor distT="0" distB="0" distL="114300" distR="114300" simplePos="0" relativeHeight="251662336" behindDoc="1" locked="0" layoutInCell="1" allowOverlap="1">
            <wp:simplePos x="0" y="0"/>
            <wp:positionH relativeFrom="column">
              <wp:posOffset>-72390</wp:posOffset>
            </wp:positionH>
            <wp:positionV relativeFrom="paragraph">
              <wp:posOffset>-38735</wp:posOffset>
            </wp:positionV>
            <wp:extent cx="5695950" cy="8435340"/>
            <wp:effectExtent l="0" t="0" r="3810" b="0"/>
            <wp:wrapTight wrapText="bothSides">
              <wp:wrapPolygon>
                <wp:start x="0" y="0"/>
                <wp:lineTo x="0" y="21580"/>
                <wp:lineTo x="21557" y="21580"/>
                <wp:lineTo x="21557" y="0"/>
                <wp:lineTo x="0" y="0"/>
              </wp:wrapPolygon>
            </wp:wrapTight>
            <wp:docPr id="5" name="图片 5" descr="1667622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7622820(1)"/>
                    <pic:cNvPicPr>
                      <a:picLocks noChangeAspect="1"/>
                    </pic:cNvPicPr>
                  </pic:nvPicPr>
                  <pic:blipFill>
                    <a:blip r:embed="rId11" cstate="print"/>
                    <a:stretch>
                      <a:fillRect/>
                    </a:stretch>
                  </pic:blipFill>
                  <pic:spPr>
                    <a:xfrm>
                      <a:off x="0" y="0"/>
                      <a:ext cx="5695950" cy="8435340"/>
                    </a:xfrm>
                    <a:prstGeom prst="rect">
                      <a:avLst/>
                    </a:prstGeom>
                  </pic:spPr>
                </pic:pic>
              </a:graphicData>
            </a:graphic>
          </wp:anchor>
        </w:drawing>
      </w:r>
    </w:p>
    <w:sectPr>
      <w:headerReference r:id="rId5" w:type="first"/>
      <w:footerReference r:id="rId8" w:type="first"/>
      <w:headerReference r:id="rId3" w:type="default"/>
      <w:footerReference r:id="rId6" w:type="default"/>
      <w:headerReference r:id="rId4" w:type="even"/>
      <w:footerReference r:id="rId7" w:type="even"/>
      <w:pgSz w:w="11906" w:h="16838"/>
      <w:pgMar w:top="1701" w:right="1474" w:bottom="1474" w:left="1588" w:header="851" w:footer="992"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55A7EBE0-3947-4E70-B24F-017DBAC4D7DD}"/>
  </w:font>
  <w:font w:name="Courier New">
    <w:panose1 w:val="02070309020205020404"/>
    <w:charset w:val="01"/>
    <w:family w:val="modern"/>
    <w:pitch w:val="default"/>
    <w:sig w:usb0="E0002EFF" w:usb1="C0007843" w:usb2="00000009" w:usb3="00000000" w:csb0="400001FF" w:csb1="FFFF0000"/>
    <w:embedRegular r:id="rId2" w:fontKey="{E656DEC5-3627-46FD-9FA0-B23D43735E1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小标宋">
    <w:panose1 w:val="03000509000000000000"/>
    <w:charset w:val="86"/>
    <w:family w:val="script"/>
    <w:pitch w:val="default"/>
    <w:sig w:usb0="00000001" w:usb1="080E0000" w:usb2="00000000" w:usb3="00000000" w:csb0="00040000" w:csb1="00000000"/>
    <w:embedRegular r:id="rId3" w:fontKey="{15F8638D-3C02-4530-AAA7-E363D2F3E23F}"/>
  </w:font>
  <w:font w:name="仿宋_GB2312">
    <w:panose1 w:val="02010609030101010101"/>
    <w:charset w:val="86"/>
    <w:family w:val="modern"/>
    <w:pitch w:val="default"/>
    <w:sig w:usb0="00000001" w:usb1="080E0000" w:usb2="00000000" w:usb3="00000000" w:csb0="00040000" w:csb1="00000000"/>
    <w:embedRegular r:id="rId4" w:fontKey="{8E393A9C-FD39-4360-A97B-9CE6509546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- 11 -</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Dm5NvJ0QEAAKUDAAAOAAAAAAAAAAEAIAAAACIB&#10;AABkcnMvZTJvRG9jLnhtbFBLBQYAAAAABgAGAFkBAABlBQAAAAA=&#10;">
              <v:fill on="f" focussize="0,0"/>
              <v:stroke on="f" weight="1.25pt"/>
              <v:imagedata o:title=""/>
              <o:lock v:ext="edit" aspectratio="f"/>
              <v:textbox inset="0mm,0mm,0mm,0mm" style="mso-fit-shape-to-text:t;">
                <w:txbxContent>
                  <w:p>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- 11 -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9"/>
      </w:rPr>
    </w:pPr>
    <w:r>
      <w:fldChar w:fldCharType="begin"/>
    </w:r>
    <w:r>
      <w:rPr>
        <w:rStyle w:val="9"/>
      </w:rPr>
      <w:instrText xml:space="preserve">PAGE  </w:instrText>
    </w:r>
    <w:r>
      <w:fldChar w:fldCharType="end"/>
    </w:r>
  </w:p>
  <w:p>
    <w:pPr>
      <w:pStyle w:val="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4"/>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hpgkvTAAAABQEAAA8AAAAAAAAAAQAgAAAAIgAAAGRycy9k&#10;b3ducmV2LnhtbFBLAQIUABQAAAAIAIdO4kCAW/XPzgEAAKUDAAAOAAAAAAAAAAEAIAAAACIBAABk&#10;cnMvZTJvRG9jLnhtbFBLBQYAAAAABgAGAFkBAABiBQAAAAA=&#10;">
              <v:fill on="f" focussize="0,0"/>
              <v:stroke on="f" weight="1.25pt"/>
              <v:imagedata o:title=""/>
              <o:lock v:ext="edit" aspectratio="f"/>
              <v:textbox inset="0mm,0mm,0mm,0mm" style="mso-fit-shape-to-text:t;">
                <w:txbxContent>
                  <w:p>
                    <w:pPr>
                      <w:pStyle w:val="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trackRevisions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jMTM5YzEzMTgxOTU1YmE4NjQxN2IzNWM2NTBmNjQifQ=="/>
  </w:docVars>
  <w:rsids>
    <w:rsidRoot w:val="00586F1F"/>
    <w:rsid w:val="000041D6"/>
    <w:rsid w:val="000A4AE0"/>
    <w:rsid w:val="000C2CA9"/>
    <w:rsid w:val="000C7840"/>
    <w:rsid w:val="000D4F8C"/>
    <w:rsid w:val="00586F1F"/>
    <w:rsid w:val="005B6BAA"/>
    <w:rsid w:val="005C2CFB"/>
    <w:rsid w:val="006057E1"/>
    <w:rsid w:val="00682DEB"/>
    <w:rsid w:val="007035D9"/>
    <w:rsid w:val="007F2208"/>
    <w:rsid w:val="009146F5"/>
    <w:rsid w:val="00973DA2"/>
    <w:rsid w:val="00A00017"/>
    <w:rsid w:val="00A13EEC"/>
    <w:rsid w:val="00B036DA"/>
    <w:rsid w:val="00B61924"/>
    <w:rsid w:val="00BF22C0"/>
    <w:rsid w:val="00CF6FC6"/>
    <w:rsid w:val="00EE2FF6"/>
    <w:rsid w:val="00F03C7E"/>
    <w:rsid w:val="02335DA9"/>
    <w:rsid w:val="03451257"/>
    <w:rsid w:val="04C01C5A"/>
    <w:rsid w:val="059920D4"/>
    <w:rsid w:val="06CC15D5"/>
    <w:rsid w:val="073360BD"/>
    <w:rsid w:val="080231EA"/>
    <w:rsid w:val="093A04C0"/>
    <w:rsid w:val="09D15D1B"/>
    <w:rsid w:val="0A60578B"/>
    <w:rsid w:val="0B892750"/>
    <w:rsid w:val="0BA51EC5"/>
    <w:rsid w:val="0D713F8B"/>
    <w:rsid w:val="17DD62FD"/>
    <w:rsid w:val="183E4FB1"/>
    <w:rsid w:val="1BB72F6F"/>
    <w:rsid w:val="1D1D1CBD"/>
    <w:rsid w:val="1EEA5953"/>
    <w:rsid w:val="20B91BCE"/>
    <w:rsid w:val="21D06385"/>
    <w:rsid w:val="230E7E5B"/>
    <w:rsid w:val="28F165F2"/>
    <w:rsid w:val="2CFB13D5"/>
    <w:rsid w:val="2DE455D7"/>
    <w:rsid w:val="349636F4"/>
    <w:rsid w:val="370D36BB"/>
    <w:rsid w:val="39126379"/>
    <w:rsid w:val="3D4225DB"/>
    <w:rsid w:val="3D525587"/>
    <w:rsid w:val="41E16201"/>
    <w:rsid w:val="449A24D2"/>
    <w:rsid w:val="44DA1BD5"/>
    <w:rsid w:val="48C35FF0"/>
    <w:rsid w:val="490D5E24"/>
    <w:rsid w:val="4CF93905"/>
    <w:rsid w:val="4E372243"/>
    <w:rsid w:val="4F953AD7"/>
    <w:rsid w:val="509C00FE"/>
    <w:rsid w:val="50BD4B06"/>
    <w:rsid w:val="56711152"/>
    <w:rsid w:val="5ABE020E"/>
    <w:rsid w:val="5C871AFF"/>
    <w:rsid w:val="5D8C60AA"/>
    <w:rsid w:val="5E3E7B09"/>
    <w:rsid w:val="5E97734C"/>
    <w:rsid w:val="5E99689E"/>
    <w:rsid w:val="66501D1A"/>
    <w:rsid w:val="68F134FC"/>
    <w:rsid w:val="6AC7732E"/>
    <w:rsid w:val="6F5F2C3E"/>
    <w:rsid w:val="7079246C"/>
    <w:rsid w:val="72C47827"/>
    <w:rsid w:val="73F23645"/>
    <w:rsid w:val="75D061B8"/>
    <w:rsid w:val="77C90D32"/>
    <w:rsid w:val="78FD0402"/>
    <w:rsid w:val="798A3707"/>
    <w:rsid w:val="79D61293"/>
    <w:rsid w:val="7AC644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10"/>
      <w:sz w:val="24"/>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Body Text Indent 2"/>
    <w:basedOn w:val="1"/>
    <w:qFormat/>
    <w:uiPriority w:val="0"/>
    <w:pPr>
      <w:spacing w:after="120" w:line="480" w:lineRule="auto"/>
      <w:ind w:left="420" w:leftChars="200"/>
    </w:pPr>
  </w:style>
  <w:style w:type="paragraph" w:styleId="4">
    <w:name w:val="footer"/>
    <w:basedOn w:val="1"/>
    <w:qFormat/>
    <w:uiPriority w:val="0"/>
    <w:pPr>
      <w:tabs>
        <w:tab w:val="center" w:pos="4153"/>
        <w:tab w:val="right" w:pos="8306"/>
      </w:tabs>
      <w:snapToGrid w:val="0"/>
      <w:jc w:val="left"/>
    </w:pPr>
    <w:rPr>
      <w:kern w:val="2"/>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kern w:val="2"/>
      <w:sz w:val="18"/>
      <w:szCs w:val="18"/>
    </w:rPr>
  </w:style>
  <w:style w:type="paragraph" w:styleId="6">
    <w:name w:val="Normal (Web)"/>
    <w:basedOn w:val="1"/>
    <w:qFormat/>
    <w:uiPriority w:val="0"/>
    <w:pPr>
      <w:spacing w:beforeAutospacing="1" w:afterAutospacing="1"/>
      <w:jc w:val="left"/>
    </w:pPr>
    <w:rPr>
      <w:kern w:val="0"/>
    </w:rPr>
  </w:style>
  <w:style w:type="character" w:styleId="9">
    <w:name w:val="page number"/>
    <w:basedOn w:val="8"/>
    <w:qFormat/>
    <w:uiPriority w:val="0"/>
  </w:style>
  <w:style w:type="character" w:styleId="10">
    <w:name w:val="Hyperlink"/>
    <w:basedOn w:val="8"/>
    <w:qFormat/>
    <w:uiPriority w:val="0"/>
    <w:rPr>
      <w:color w:val="0000FF"/>
      <w:u w:val="single"/>
    </w:rPr>
  </w:style>
  <w:style w:type="paragraph" w:customStyle="1" w:styleId="11">
    <w:name w:val="正文缩进1"/>
    <w:qFormat/>
    <w:uiPriority w:val="0"/>
    <w:pPr>
      <w:widowControl w:val="0"/>
      <w:ind w:firstLine="720" w:firstLineChars="200"/>
      <w:jc w:val="both"/>
    </w:pPr>
    <w:rPr>
      <w:rFonts w:ascii="Calibri" w:hAnsi="Calibri" w:eastAsia="楷体_GB2312" w:cs="Times New Roman"/>
      <w:kern w:val="10"/>
      <w:sz w:val="24"/>
      <w:szCs w:val="24"/>
      <w:lang w:val="en-US" w:eastAsia="zh-CN" w:bidi="ar-SA"/>
    </w:rPr>
  </w:style>
  <w:style w:type="character" w:customStyle="1" w:styleId="12">
    <w:name w:val="NormalCharacter"/>
    <w:semiHidden/>
    <w:qFormat/>
    <w:uiPriority w:val="0"/>
    <w:rPr>
      <w:rFonts w:ascii="Times New Roman" w:hAnsi="Times New Roman" w:eastAsia="宋体" w:cs="Times New Roman"/>
      <w:kern w:val="10"/>
      <w:sz w:val="24"/>
      <w:szCs w:val="24"/>
      <w:lang w:val="en-US" w:eastAsia="zh-CN" w:bidi="ar-SA"/>
    </w:rPr>
  </w:style>
  <w:style w:type="paragraph" w:customStyle="1" w:styleId="13">
    <w:name w:val="PlainText"/>
    <w:basedOn w:val="1"/>
    <w:qFormat/>
    <w:uiPriority w:val="0"/>
    <w:pPr>
      <w:textAlignment w:val="baseline"/>
    </w:pPr>
    <w:rPr>
      <w:rFonts w:ascii="宋体" w:hAnsi="Courier New"/>
      <w:szCs w:val="21"/>
    </w:rPr>
  </w:style>
  <w:style w:type="paragraph" w:customStyle="1" w:styleId="14">
    <w:name w:val="UserStyle_1"/>
    <w:qFormat/>
    <w:uiPriority w:val="0"/>
    <w:pPr>
      <w:ind w:firstLine="720" w:firstLineChars="200"/>
      <w:jc w:val="both"/>
      <w:textAlignment w:val="baseline"/>
    </w:pPr>
    <w:rPr>
      <w:rFonts w:ascii="Calibri" w:hAnsi="Calibri" w:eastAsia="楷体_GB2312" w:cstheme="minorBidi"/>
      <w:kern w:val="10"/>
      <w:sz w:val="24"/>
      <w:szCs w:val="24"/>
      <w:lang w:val="en-US" w:eastAsia="zh-CN" w:bidi="ar-SA"/>
    </w:rPr>
  </w:style>
  <w:style w:type="character" w:customStyle="1" w:styleId="15">
    <w:name w:val="PageNumber"/>
    <w:basedOn w:val="12"/>
    <w:qFormat/>
    <w:uiPriority w:val="0"/>
    <w:rPr>
      <w:rFonts w:ascii="Times New Roman" w:hAnsi="Times New Roman" w:eastAsia="宋体" w:cs="Times New Roman"/>
      <w:kern w:val="10"/>
      <w:sz w:val="24"/>
      <w:szCs w:val="24"/>
      <w:lang w:val="en-US" w:eastAsia="zh-CN" w:bidi="ar-SA"/>
    </w:rPr>
  </w:style>
  <w:style w:type="table" w:customStyle="1" w:styleId="1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WIN</Company>
  <Pages>14</Pages>
  <Words>5906</Words>
  <Characters>1061</Characters>
  <Lines>8</Lines>
  <Paragraphs>13</Paragraphs>
  <TotalTime>33</TotalTime>
  <ScaleCrop>false</ScaleCrop>
  <LinksUpToDate>false</LinksUpToDate>
  <CharactersWithSpaces>6954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2022-11-08T11:02:00Z</dcterms:created>
  <dc:creator>Administrator</dc:creator>
  <cp:lastModifiedBy>小宁</cp:lastModifiedBy>
  <cp:lastPrinted>2022-11-04T07:32:00Z</cp:lastPrinted>
  <dcterms:modified xsi:type="dcterms:W3CDTF">2023-10-19T01:18:34Z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FE6DA4C9E40A48EC8FD65D2787CCEAF1_13</vt:lpwstr>
  </property>
</Properties>
</file>